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Theme="majorEastAsia" w:hAnsiTheme="majorEastAsia" w:eastAsiaTheme="majorEastAsia" w:cstheme="majorEastAsia"/>
          <w:b/>
          <w:bCs/>
          <w:sz w:val="44"/>
          <w:szCs w:val="44"/>
          <w:lang w:val="en-US" w:eastAsia="zh-CN"/>
        </w:rPr>
        <w:t>防潮地垫项目</w:t>
      </w:r>
      <w:r>
        <w:rPr>
          <w:rFonts w:hint="eastAsia" w:ascii="宋体" w:hAnsi="宋体" w:eastAsia="宋体"/>
          <w:b/>
          <w:sz w:val="36"/>
          <w:szCs w:val="21"/>
          <w:lang w:val="en-US" w:eastAsia="zh-CN"/>
        </w:rPr>
        <w:t>（202509-2）材料目录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7"/>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7"/>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7"/>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产品彩页、产品说明书、</w:t>
      </w:r>
      <w:r>
        <w:rPr>
          <w:rFonts w:hint="eastAsia"/>
          <w:b/>
          <w:bCs/>
          <w:color w:val="FF0000"/>
          <w:sz w:val="24"/>
          <w:szCs w:val="24"/>
        </w:rPr>
        <w:t>产品实物图片</w:t>
      </w:r>
      <w:r>
        <w:rPr>
          <w:rFonts w:hint="eastAsia"/>
          <w:sz w:val="24"/>
          <w:szCs w:val="24"/>
          <w:lang w:eastAsia="zh-CN"/>
        </w:rPr>
        <w:t>。</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7"/>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ind w:firstLine="480" w:firstLineChars="200"/>
        <w:rPr>
          <w:rFonts w:hint="eastAsia" w:ascii="宋体" w:hAnsi="宋体" w:eastAsia="宋体" w:cstheme="minorBidi"/>
          <w:b/>
          <w:kern w:val="2"/>
          <w:sz w:val="28"/>
          <w:szCs w:val="28"/>
          <w:lang w:val="en-US" w:eastAsia="zh-CN" w:bidi="ar-SA"/>
        </w:rPr>
      </w:pPr>
      <w:r>
        <w:rPr>
          <w:rFonts w:hint="eastAsia" w:ascii="宋体" w:hAnsi="宋体" w:eastAsia="宋体"/>
          <w:color w:val="auto"/>
          <w:sz w:val="24"/>
          <w:szCs w:val="24"/>
          <w:lang w:val="en-US" w:eastAsia="zh-CN"/>
        </w:rPr>
        <w:t>11、</w:t>
      </w:r>
      <w:r>
        <w:rPr>
          <w:rFonts w:hint="eastAsia" w:ascii="宋体" w:hAnsi="宋体" w:eastAsia="宋体" w:cstheme="minorBidi"/>
          <w:b/>
          <w:kern w:val="2"/>
          <w:sz w:val="28"/>
          <w:szCs w:val="28"/>
          <w:lang w:val="en-US" w:eastAsia="zh-CN" w:bidi="ar-SA"/>
        </w:rPr>
        <w:t>评分表（见附件6）。</w:t>
      </w:r>
    </w:p>
    <w:p>
      <w:pPr>
        <w:pStyle w:val="3"/>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 xml:space="preserve">   12、产品参数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材质：高密度聚乙烯</w:t>
      </w:r>
      <w:bookmarkStart w:id="3" w:name="_GoBack"/>
      <w:bookmarkEnd w:id="3"/>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层数：1层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规格：1000*800*140mm</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承重：静载4吨、动载0.8吨</w:t>
      </w:r>
    </w:p>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外观：圆角设计、防止磕碰、底部加强筋、可加钢管增加承重、九脚平面托盘。</w:t>
      </w:r>
    </w:p>
    <w:p>
      <w:pPr>
        <w:pStyle w:val="3"/>
        <w:rPr>
          <w:rFonts w:hint="default" w:ascii="宋体" w:hAnsi="宋体" w:eastAsia="仿宋_GB2312" w:cs="宋体"/>
          <w:sz w:val="28"/>
          <w:szCs w:val="28"/>
          <w:lang w:val="en-US" w:eastAsia="zh-CN"/>
        </w:rPr>
      </w:pPr>
      <w:r>
        <w:rPr>
          <w:rFonts w:hint="eastAsia" w:ascii="仿宋_GB2312" w:hAnsi="仿宋_GB2312" w:eastAsia="仿宋_GB2312" w:cs="仿宋_GB2312"/>
          <w:i w:val="0"/>
          <w:iCs w:val="0"/>
          <w:caps w:val="0"/>
          <w:color w:val="192338"/>
          <w:spacing w:val="5"/>
          <w:sz w:val="32"/>
          <w:szCs w:val="32"/>
          <w:shd w:val="clear" w:fill="FFFFFF"/>
        </w:rPr>
        <w:t>产品符合国标（如GB/T 15234），附检测报告</w:t>
      </w:r>
      <w:r>
        <w:rPr>
          <w:rFonts w:hint="eastAsia" w:ascii="仿宋_GB2312" w:hAnsi="仿宋_GB2312" w:eastAsia="仿宋_GB2312" w:cs="仿宋_GB2312"/>
          <w:i w:val="0"/>
          <w:iCs w:val="0"/>
          <w:caps w:val="0"/>
          <w:color w:val="192338"/>
          <w:spacing w:val="5"/>
          <w:sz w:val="32"/>
          <w:szCs w:val="32"/>
          <w:shd w:val="clear" w:fill="FFFFFF"/>
          <w:lang w:eastAsia="zh-CN"/>
        </w:rPr>
        <w:t>，</w:t>
      </w:r>
      <w:r>
        <w:rPr>
          <w:rFonts w:hint="eastAsia" w:ascii="仿宋_GB2312" w:hAnsi="仿宋_GB2312" w:eastAsia="仿宋_GB2312" w:cs="仿宋_GB2312"/>
          <w:i w:val="0"/>
          <w:iCs w:val="0"/>
          <w:caps w:val="0"/>
          <w:color w:val="192338"/>
          <w:spacing w:val="5"/>
          <w:sz w:val="32"/>
          <w:szCs w:val="32"/>
          <w:shd w:val="clear" w:fill="FFFFFF"/>
          <w:lang w:val="en-US" w:eastAsia="zh-CN"/>
        </w:rPr>
        <w:t>带样品</w:t>
      </w:r>
    </w:p>
    <w:p>
      <w:pPr>
        <w:pStyle w:val="3"/>
        <w:keepNext w:val="0"/>
        <w:keepLines w:val="0"/>
        <w:pageBreakBefore w:val="0"/>
        <w:numPr>
          <w:ilvl w:val="0"/>
          <w:numId w:val="0"/>
        </w:numPr>
        <w:kinsoku/>
        <w:wordWrap/>
        <w:overflowPunct/>
        <w:topLinePunct w:val="0"/>
        <w:autoSpaceDE/>
        <w:autoSpaceDN/>
        <w:bidi w:val="0"/>
        <w:adjustRightInd/>
        <w:snapToGrid/>
        <w:spacing w:line="500" w:lineRule="exact"/>
        <w:rPr>
          <w:rFonts w:hint="default"/>
          <w:sz w:val="28"/>
          <w:szCs w:val="28"/>
          <w:lang w:val="en-US" w:eastAsia="zh-CN"/>
        </w:rPr>
      </w:pPr>
      <w:r>
        <w:rPr>
          <w:rFonts w:hint="eastAsia"/>
          <w:sz w:val="28"/>
          <w:szCs w:val="28"/>
          <w:lang w:val="en-US" w:eastAsia="zh-CN"/>
        </w:rPr>
        <w:t xml:space="preserve">   </w:t>
      </w:r>
      <w:r>
        <w:rPr>
          <w:rFonts w:hint="eastAsia" w:ascii="宋体" w:hAnsi="宋体" w:eastAsia="宋体" w:cs="宋体"/>
          <w:i w:val="0"/>
          <w:color w:val="auto"/>
          <w:kern w:val="0"/>
          <w:sz w:val="28"/>
          <w:szCs w:val="28"/>
          <w:u w:val="none"/>
          <w:lang w:val="en-US" w:eastAsia="zh-CN" w:bidi="ar"/>
        </w:rPr>
        <w:t>备注：本项目说明中所提出的参数和标准仅系说明并非进行限制，供应商可提出替代的参数和标准，并在技术文件中详细说明，但该替代应不低于本文件的规定和要求（本报价包含产品安装费、材料费、人工费、运输费、税费等所有费用）。</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7"/>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jc w:val="center"/>
        <w:rPr>
          <w:rFonts w:ascii="黑体" w:hAnsi="宋体" w:eastAsia="黑体"/>
          <w:sz w:val="24"/>
          <w:szCs w:val="5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防潮地垫项目</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编号（202509-2）</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10"/>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77"/>
        <w:gridCol w:w="510"/>
        <w:gridCol w:w="1295"/>
        <w:gridCol w:w="1295"/>
        <w:gridCol w:w="928"/>
        <w:gridCol w:w="1037"/>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187" w:type="dxa"/>
            <w:gridSpan w:val="2"/>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tc>
        <w:tc>
          <w:tcPr>
            <w:tcW w:w="1295" w:type="dxa"/>
          </w:tcPr>
          <w:p>
            <w:pPr>
              <w:rPr>
                <w:rFonts w:hint="default"/>
                <w:lang w:val="en-US" w:eastAsia="zh-CN"/>
              </w:rPr>
            </w:pPr>
            <w:r>
              <w:rPr>
                <w:rFonts w:hint="eastAsia"/>
                <w:lang w:val="en-US" w:eastAsia="zh-CN"/>
              </w:rPr>
              <w:t>品牌或生产厂家</w:t>
            </w:r>
          </w:p>
        </w:tc>
        <w:tc>
          <w:tcPr>
            <w:tcW w:w="1295" w:type="dxa"/>
          </w:tcPr>
          <w:p>
            <w:pPr>
              <w:rPr>
                <w:rFonts w:hint="default" w:eastAsiaTheme="minorEastAsia"/>
                <w:lang w:val="en-US" w:eastAsia="zh-CN"/>
              </w:rPr>
            </w:pPr>
            <w:r>
              <w:rPr>
                <w:rFonts w:hint="eastAsia"/>
                <w:lang w:val="en-US" w:eastAsia="zh-CN"/>
              </w:rPr>
              <w:t>规格</w:t>
            </w:r>
          </w:p>
        </w:tc>
        <w:tc>
          <w:tcPr>
            <w:tcW w:w="928" w:type="dxa"/>
          </w:tcPr>
          <w:p>
            <w:pPr>
              <w:rPr>
                <w:rFonts w:hint="default" w:eastAsiaTheme="minorEastAsia"/>
                <w:lang w:val="en-US" w:eastAsia="zh-CN"/>
              </w:rPr>
            </w:pPr>
            <w:r>
              <w:rPr>
                <w:rFonts w:hint="eastAsia"/>
                <w:lang w:val="en-US" w:eastAsia="zh-CN"/>
              </w:rPr>
              <w:t>数量</w:t>
            </w:r>
          </w:p>
        </w:tc>
        <w:tc>
          <w:tcPr>
            <w:tcW w:w="1037" w:type="dxa"/>
          </w:tcPr>
          <w:p>
            <w:pPr>
              <w:rPr>
                <w:rFonts w:hint="eastAsia" w:eastAsiaTheme="minorEastAsia"/>
                <w:lang w:eastAsia="zh-CN"/>
              </w:rPr>
            </w:pPr>
            <w:r>
              <w:rPr>
                <w:rFonts w:hint="eastAsia"/>
                <w:lang w:val="en-US" w:eastAsia="zh-CN"/>
              </w:rPr>
              <w:t>单价</w:t>
            </w:r>
          </w:p>
        </w:tc>
        <w:tc>
          <w:tcPr>
            <w:tcW w:w="1020" w:type="dxa"/>
            <w:vAlign w:val="center"/>
          </w:tcPr>
          <w:p>
            <w:pPr>
              <w:rPr>
                <w:rFonts w:hint="default"/>
                <w:lang w:val="en-US" w:eastAsia="zh-CN"/>
              </w:rPr>
            </w:pPr>
            <w:r>
              <w:rPr>
                <w:rFonts w:hint="eastAsia"/>
                <w:lang w:val="en-US" w:eastAsia="zh-CN"/>
              </w:rPr>
              <w:t>总价</w:t>
            </w:r>
          </w:p>
        </w:tc>
        <w:tc>
          <w:tcPr>
            <w:tcW w:w="1020" w:type="dxa"/>
            <w:vAlign w:val="center"/>
          </w:tcPr>
          <w:p>
            <w:pPr>
              <w:rPr>
                <w:rFonts w:hint="default" w:eastAsiaTheme="minorEastAsia"/>
                <w:lang w:val="en-US" w:eastAsia="zh-CN"/>
              </w:rPr>
            </w:pPr>
            <w:r>
              <w:rPr>
                <w:rFonts w:hint="eastAsia"/>
                <w:lang w:val="en-US" w:eastAsia="zh-CN"/>
              </w:rPr>
              <w:t>质保</w:t>
            </w:r>
          </w:p>
        </w:tc>
        <w:tc>
          <w:tcPr>
            <w:tcW w:w="1020" w:type="dxa"/>
            <w:vAlign w:val="center"/>
          </w:tcPr>
          <w:p>
            <w:pP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hint="eastAsia"/>
              </w:rPr>
            </w:pPr>
          </w:p>
          <w:p>
            <w:pPr>
              <w:pStyle w:val="3"/>
              <w:rPr>
                <w:rFonts w:hint="eastAsia"/>
              </w:rPr>
            </w:pPr>
          </w:p>
        </w:tc>
        <w:tc>
          <w:tcPr>
            <w:tcW w:w="1187" w:type="dxa"/>
            <w:gridSpan w:val="2"/>
          </w:tcPr>
          <w:p/>
        </w:tc>
        <w:tc>
          <w:tcPr>
            <w:tcW w:w="1295" w:type="dxa"/>
          </w:tcPr>
          <w:p>
            <w:pPr>
              <w:rPr>
                <w:rFonts w:hint="eastAsia"/>
                <w:lang w:val="en-US" w:eastAsia="zh-CN"/>
              </w:rPr>
            </w:pPr>
          </w:p>
        </w:tc>
        <w:tc>
          <w:tcPr>
            <w:tcW w:w="1295" w:type="dxa"/>
          </w:tcPr>
          <w:p>
            <w:pPr>
              <w:rPr>
                <w:rFonts w:hint="eastAsia"/>
                <w:lang w:val="en-US" w:eastAsia="zh-CN"/>
              </w:rPr>
            </w:pPr>
          </w:p>
        </w:tc>
        <w:tc>
          <w:tcPr>
            <w:tcW w:w="928" w:type="dxa"/>
          </w:tcPr>
          <w:p>
            <w:pPr>
              <w:rPr>
                <w:rFonts w:hint="eastAsia"/>
                <w:lang w:val="en-US" w:eastAsia="zh-CN"/>
              </w:rPr>
            </w:pPr>
          </w:p>
        </w:tc>
        <w:tc>
          <w:tcPr>
            <w:tcW w:w="1037" w:type="dxa"/>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95" w:type="dxa"/>
            <w:gridSpan w:val="2"/>
          </w:tcPr>
          <w:p>
            <w:pPr>
              <w:rPr>
                <w:rFonts w:hint="eastAsia"/>
                <w:lang w:val="en-US" w:eastAsia="zh-CN"/>
              </w:rPr>
            </w:pPr>
          </w:p>
        </w:tc>
        <w:tc>
          <w:tcPr>
            <w:tcW w:w="5065" w:type="dxa"/>
            <w:gridSpan w:val="5"/>
          </w:tcPr>
          <w:p>
            <w:r>
              <w:rPr>
                <w:rFonts w:hint="eastAsia"/>
                <w:lang w:val="en-US" w:eastAsia="zh-CN"/>
              </w:rPr>
              <w:t>合计：</w:t>
            </w:r>
          </w:p>
        </w:tc>
        <w:tc>
          <w:tcPr>
            <w:tcW w:w="1020" w:type="dxa"/>
          </w:tcPr>
          <w:p/>
        </w:tc>
        <w:tc>
          <w:tcPr>
            <w:tcW w:w="1020" w:type="dxa"/>
          </w:tcPr>
          <w:p/>
        </w:tc>
        <w:tc>
          <w:tcPr>
            <w:tcW w:w="1020" w:type="dxa"/>
          </w:tcPr>
          <w:p/>
        </w:tc>
      </w:tr>
    </w:tbl>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9"/>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Theme="majorEastAsia" w:hAnsiTheme="majorEastAsia" w:eastAsiaTheme="majorEastAsia" w:cstheme="majorEastAsia"/>
                <w:b/>
                <w:bCs/>
                <w:sz w:val="44"/>
                <w:szCs w:val="44"/>
                <w:lang w:val="en-US" w:eastAsia="zh-CN"/>
              </w:rPr>
              <w:t>防潮地垫项目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7"/>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7"/>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7"/>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7"/>
              <w:adjustRightInd w:val="0"/>
              <w:spacing w:line="360" w:lineRule="exact"/>
              <w:ind w:firstLine="560"/>
              <w:contextualSpacing/>
              <w:rPr>
                <w:rFonts w:ascii="方正仿宋_GBK" w:eastAsia="方正仿宋_GBK"/>
                <w:sz w:val="28"/>
              </w:rPr>
            </w:pPr>
          </w:p>
          <w:p>
            <w:pPr>
              <w:pStyle w:val="17"/>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7"/>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7"/>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7"/>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7"/>
        <w:adjustRightInd w:val="0"/>
        <w:spacing w:before="160" w:after="160"/>
        <w:ind w:firstLine="0" w:firstLineChars="0"/>
        <w:contextualSpacing/>
        <w:jc w:val="left"/>
        <w:rPr>
          <w:rFonts w:hint="default" w:ascii="宋体" w:hAnsi="宋体" w:eastAsia="宋体"/>
          <w:b/>
          <w:bCs w:val="0"/>
          <w:sz w:val="28"/>
          <w:szCs w:val="28"/>
          <w:lang w:val="en-US" w:eastAsia="zh-CN"/>
        </w:rPr>
      </w:pPr>
      <w:r>
        <w:rPr>
          <w:rFonts w:hint="eastAsia" w:ascii="宋体" w:hAnsi="宋体" w:eastAsia="宋体"/>
          <w:b/>
          <w:bCs w:val="0"/>
          <w:sz w:val="28"/>
          <w:szCs w:val="28"/>
          <w:lang w:val="en-US" w:eastAsia="zh-CN"/>
        </w:rPr>
        <w:t>附件6：评分表</w:t>
      </w:r>
    </w:p>
    <w:p>
      <w:pPr>
        <w:widowControl/>
        <w:adjustRightInd w:val="0"/>
        <w:spacing w:before="160" w:after="160"/>
        <w:contextualSpacing/>
        <w:jc w:val="left"/>
        <w:rPr>
          <w:rFonts w:ascii="宋体" w:hAnsi="宋体" w:eastAsia="宋体"/>
          <w:bCs/>
          <w:szCs w:val="21"/>
        </w:rPr>
      </w:pPr>
    </w:p>
    <w:tbl>
      <w:tblPr>
        <w:tblStyle w:val="9"/>
        <w:tblW w:w="8437"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bookmarkStart w:id="2" w:name="OLE_LINK1" w:colFirst="3" w:colLast="6"/>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358"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6"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tcBorders>
              <w:bottom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358" w:type="dxa"/>
            <w:tcBorders>
              <w:bottom w:val="single" w:color="auto" w:sz="4" w:space="0"/>
            </w:tcBorders>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8" w:hRule="atLeast"/>
        </w:trPr>
        <w:tc>
          <w:tcPr>
            <w:tcW w:w="280" w:type="dxa"/>
            <w:tcBorders>
              <w:top w:val="single" w:color="auto" w:sz="4" w:space="0"/>
              <w:bottom w:val="single" w:color="auto" w:sz="4" w:space="0"/>
            </w:tcBorders>
            <w:noWrap w:val="0"/>
            <w:vAlign w:val="center"/>
          </w:tcPr>
          <w:p>
            <w:pPr>
              <w:spacing w:line="28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tcBorders>
              <w:top w:val="single" w:color="auto" w:sz="4" w:space="0"/>
            </w:tcBorders>
            <w:noWrap w:val="0"/>
            <w:vAlign w:val="center"/>
          </w:tcPr>
          <w:p>
            <w:pPr>
              <w:spacing w:line="280" w:lineRule="exact"/>
              <w:jc w:val="center"/>
              <w:rPr>
                <w:rFonts w:hint="default" w:ascii="宋体" w:hAnsi="宋体" w:cs="仿宋_GB2312"/>
                <w:szCs w:val="21"/>
                <w:lang w:val="en-US" w:eastAsia="zh-CN"/>
              </w:rPr>
            </w:pPr>
            <w:r>
              <w:rPr>
                <w:rFonts w:hint="eastAsia" w:ascii="宋体" w:hAnsi="宋体" w:cs="仿宋_GB2312"/>
                <w:szCs w:val="21"/>
                <w:lang w:val="en-US" w:eastAsia="zh-CN"/>
              </w:rPr>
              <w:t>样品5分</w:t>
            </w:r>
          </w:p>
        </w:tc>
        <w:tc>
          <w:tcPr>
            <w:tcW w:w="6358" w:type="dxa"/>
            <w:tcBorders>
              <w:top w:val="single" w:color="auto" w:sz="4" w:space="0"/>
            </w:tcBorders>
            <w:noWrap w:val="0"/>
            <w:vAlign w:val="top"/>
          </w:tcPr>
          <w:p>
            <w:pPr>
              <w:spacing w:line="280" w:lineRule="exact"/>
              <w:rPr>
                <w:rFonts w:hint="eastAsia"/>
                <w:lang w:val="en-US" w:eastAsia="zh-CN"/>
              </w:rPr>
            </w:pPr>
            <w:r>
              <w:rPr>
                <w:rFonts w:hint="eastAsia"/>
                <w:lang w:eastAsia="zh-CN"/>
              </w:rPr>
              <w:t>经评委查看样品，</w:t>
            </w:r>
            <w:r>
              <w:rPr>
                <w:rFonts w:hint="eastAsia"/>
                <w:lang w:val="en-US" w:eastAsia="zh-CN"/>
              </w:rPr>
              <w:t>根据</w:t>
            </w:r>
            <w:r>
              <w:rPr>
                <w:rFonts w:hint="eastAsia"/>
                <w:lang w:eastAsia="zh-CN"/>
              </w:rPr>
              <w:t>临床使用需求，</w:t>
            </w:r>
            <w:r>
              <w:rPr>
                <w:rFonts w:hint="eastAsia"/>
                <w:lang w:val="en-US" w:eastAsia="zh-CN"/>
              </w:rPr>
              <w:t>酌情打分。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5</w:t>
            </w:r>
            <w:r>
              <w:rPr>
                <w:rFonts w:hint="eastAsia" w:ascii="宋体" w:hAnsi="宋体" w:cs="仿宋_GB2312"/>
                <w:szCs w:val="21"/>
              </w:rPr>
              <w:t>分-</w:t>
            </w:r>
            <w:r>
              <w:rPr>
                <w:rFonts w:hint="eastAsia" w:ascii="宋体" w:hAnsi="宋体" w:cs="仿宋_GB2312"/>
                <w:szCs w:val="21"/>
                <w:lang w:val="en-US" w:eastAsia="zh-CN"/>
              </w:rPr>
              <w:t>4</w:t>
            </w:r>
            <w:r>
              <w:rPr>
                <w:rFonts w:hint="eastAsia" w:ascii="宋体" w:hAnsi="宋体" w:cs="仿宋_GB2312"/>
                <w:szCs w:val="21"/>
              </w:rPr>
              <w:t>分】：</w:t>
            </w:r>
            <w:r>
              <w:rPr>
                <w:rFonts w:hint="eastAsia" w:ascii="宋体" w:hAnsi="宋体" w:cs="仿宋_GB2312"/>
                <w:szCs w:val="21"/>
                <w:lang w:val="en-US" w:eastAsia="zh-CN"/>
              </w:rPr>
              <w:t>本次投标产品非常符合临床需求。</w:t>
            </w:r>
          </w:p>
          <w:p>
            <w:pPr>
              <w:spacing w:line="280" w:lineRule="exact"/>
              <w:rPr>
                <w:rFonts w:hint="eastAsia" w:ascii="宋体" w:hAnsi="宋体" w:cs="仿宋_GB2312"/>
                <w:szCs w:val="21"/>
                <w:lang w:val="en-US" w:eastAsia="zh-CN"/>
              </w:rPr>
            </w:pPr>
            <w:r>
              <w:rPr>
                <w:rFonts w:hint="eastAsia" w:ascii="宋体" w:hAnsi="宋体" w:cs="仿宋_GB2312"/>
                <w:szCs w:val="21"/>
              </w:rPr>
              <w:t>良【</w:t>
            </w:r>
            <w:r>
              <w:rPr>
                <w:rFonts w:hint="eastAsia" w:ascii="宋体" w:hAnsi="宋体" w:cs="仿宋_GB2312"/>
                <w:szCs w:val="21"/>
                <w:lang w:val="en-US" w:eastAsia="zh-CN"/>
              </w:rPr>
              <w:t>3</w:t>
            </w:r>
            <w:r>
              <w:rPr>
                <w:rFonts w:hint="eastAsia" w:ascii="宋体" w:hAnsi="宋体" w:cs="仿宋_GB2312"/>
                <w:szCs w:val="21"/>
              </w:rPr>
              <w:t>分-</w:t>
            </w:r>
            <w:r>
              <w:rPr>
                <w:rFonts w:hint="eastAsia" w:ascii="宋体" w:hAnsi="宋体" w:cs="仿宋_GB2312"/>
                <w:szCs w:val="21"/>
                <w:lang w:val="en-US" w:eastAsia="zh-CN"/>
              </w:rPr>
              <w:t>2</w:t>
            </w:r>
            <w:r>
              <w:rPr>
                <w:rFonts w:hint="eastAsia" w:ascii="宋体" w:hAnsi="宋体" w:cs="仿宋_GB2312"/>
                <w:szCs w:val="21"/>
              </w:rPr>
              <w:t>分】：</w:t>
            </w:r>
            <w:r>
              <w:rPr>
                <w:rFonts w:hint="eastAsia" w:ascii="宋体" w:hAnsi="宋体" w:cs="仿宋_GB2312"/>
                <w:szCs w:val="21"/>
                <w:lang w:val="en-US" w:eastAsia="zh-CN"/>
              </w:rPr>
              <w:t>本次投标产品比较符合临床需求。</w:t>
            </w:r>
          </w:p>
          <w:p>
            <w:pPr>
              <w:spacing w:line="280" w:lineRule="exact"/>
              <w:rPr>
                <w:rFonts w:hint="eastAsia"/>
              </w:rPr>
            </w:pPr>
            <w:r>
              <w:rPr>
                <w:rFonts w:hint="eastAsia" w:ascii="Times New Roman" w:hAnsi="Times New Roman" w:eastAsia="宋体" w:cs="Times New Roman"/>
                <w:b w:val="0"/>
                <w:bCs w:val="0"/>
                <w:sz w:val="21"/>
                <w:szCs w:val="24"/>
              </w:rPr>
              <w:t>一般【</w:t>
            </w:r>
            <w:r>
              <w:rPr>
                <w:rFonts w:hint="eastAsia" w:ascii="Times New Roman" w:hAnsi="Times New Roman" w:eastAsia="宋体" w:cs="Times New Roman"/>
                <w:b w:val="0"/>
                <w:bCs w:val="0"/>
                <w:sz w:val="21"/>
                <w:szCs w:val="24"/>
                <w:lang w:val="en-US" w:eastAsia="zh-CN"/>
              </w:rPr>
              <w:t>2</w:t>
            </w:r>
            <w:r>
              <w:rPr>
                <w:rFonts w:hint="eastAsia" w:ascii="Times New Roman" w:hAnsi="Times New Roman" w:eastAsia="宋体" w:cs="Times New Roman"/>
                <w:b w:val="0"/>
                <w:bCs w:val="0"/>
                <w:sz w:val="21"/>
                <w:szCs w:val="24"/>
              </w:rPr>
              <w:t>分-1分】：</w:t>
            </w:r>
            <w:r>
              <w:rPr>
                <w:rFonts w:hint="eastAsia" w:ascii="宋体" w:hAnsi="宋体" w:eastAsia="宋体" w:cs="仿宋_GB2312"/>
                <w:b w:val="0"/>
                <w:bCs w:val="0"/>
                <w:sz w:val="21"/>
                <w:szCs w:val="21"/>
                <w:lang w:val="en-US" w:eastAsia="zh-CN"/>
              </w:rPr>
              <w:t>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tcBorders>
              <w:top w:val="single" w:color="auto" w:sz="4" w:space="0"/>
            </w:tcBorders>
            <w:noWrap w:val="0"/>
            <w:vAlign w:val="center"/>
          </w:tcPr>
          <w:p>
            <w:pPr>
              <w:spacing w:line="280" w:lineRule="exact"/>
              <w:jc w:val="center"/>
              <w:rPr>
                <w:rFonts w:hint="eastAsia" w:ascii="宋体" w:hAnsi="宋体" w:cs="仿宋_GB2312" w:eastAsiaTheme="minorEastAsia"/>
                <w:szCs w:val="21"/>
                <w:lang w:eastAsia="zh-CN"/>
              </w:rPr>
            </w:pPr>
            <w:r>
              <w:rPr>
                <w:rFonts w:hint="eastAsia" w:ascii="宋体" w:hAnsi="宋体" w:cs="仿宋_GB2312"/>
                <w:szCs w:val="21"/>
                <w:lang w:val="en-US" w:eastAsia="zh-CN"/>
              </w:rPr>
              <w:t>4</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5</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358"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注，采购文件中需提供完整的合同复印件或者完整的供货发票复印件，否则不得分。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079" w:type="dxa"/>
            <w:gridSpan w:val="3"/>
            <w:tcBorders>
              <w:top w:val="single" w:color="auto" w:sz="4" w:space="0"/>
            </w:tcBorders>
            <w:noWrap w:val="0"/>
            <w:vAlign w:val="center"/>
          </w:tcPr>
          <w:p>
            <w:pPr>
              <w:spacing w:line="28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tc>
        <w:tc>
          <w:tcPr>
            <w:tcW w:w="6358" w:type="dxa"/>
            <w:noWrap w:val="0"/>
            <w:vAlign w:val="center"/>
          </w:tcPr>
          <w:p>
            <w:pPr>
              <w:spacing w:line="280" w:lineRule="exact"/>
              <w:rPr>
                <w:rFonts w:hint="eastAsia" w:ascii="宋体" w:hAnsi="宋体" w:cs="仿宋_GB2312"/>
                <w:szCs w:val="21"/>
              </w:rPr>
            </w:pPr>
          </w:p>
        </w:tc>
      </w:tr>
    </w:tbl>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283CFC-B98C-410C-9E6C-4A3152E51C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D37558-5D2E-4B3E-9064-C6B8267805B9}"/>
  </w:font>
  <w:font w:name="仿宋_GB2312">
    <w:panose1 w:val="02010609030101010101"/>
    <w:charset w:val="86"/>
    <w:family w:val="modern"/>
    <w:pitch w:val="default"/>
    <w:sig w:usb0="00000001" w:usb1="080E0000" w:usb2="00000000" w:usb3="00000000" w:csb0="00040000" w:csb1="00000000"/>
    <w:embedRegular r:id="rId3" w:fontKey="{1BC5CD19-69C3-4B1C-A3E5-52B412564532}"/>
  </w:font>
  <w:font w:name="方正仿宋_GBK">
    <w:altName w:val="微软雅黑"/>
    <w:panose1 w:val="03000509000000000000"/>
    <w:charset w:val="86"/>
    <w:family w:val="script"/>
    <w:pitch w:val="default"/>
    <w:sig w:usb0="00000000" w:usb1="00000000" w:usb2="00000000" w:usb3="00000000" w:csb0="00040000" w:csb1="00000000"/>
    <w:embedRegular r:id="rId4" w:fontKey="{A118A3BB-37B1-42C2-B779-88638846B56C}"/>
  </w:font>
  <w:font w:name="方正小标宋_GBK">
    <w:altName w:val="微软雅黑"/>
    <w:panose1 w:val="03000509000000000000"/>
    <w:charset w:val="86"/>
    <w:family w:val="script"/>
    <w:pitch w:val="default"/>
    <w:sig w:usb0="00000000" w:usb1="00000000" w:usb2="00000000" w:usb3="00000000" w:csb0="00040000" w:csb1="00000000"/>
    <w:embedRegular r:id="rId5" w:fontKey="{E9353C84-BAD3-4C1B-A905-C33233393F3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C10405"/>
    <w:rsid w:val="033C5388"/>
    <w:rsid w:val="038068C0"/>
    <w:rsid w:val="05271CE3"/>
    <w:rsid w:val="06EC78A0"/>
    <w:rsid w:val="0B385885"/>
    <w:rsid w:val="0F97167D"/>
    <w:rsid w:val="12585FEE"/>
    <w:rsid w:val="137F534D"/>
    <w:rsid w:val="13E97A8B"/>
    <w:rsid w:val="13EE7E6C"/>
    <w:rsid w:val="16EF04BD"/>
    <w:rsid w:val="1AF2758F"/>
    <w:rsid w:val="1AFE1664"/>
    <w:rsid w:val="1CC35F44"/>
    <w:rsid w:val="1CE4719A"/>
    <w:rsid w:val="206029C1"/>
    <w:rsid w:val="20B7141E"/>
    <w:rsid w:val="221A160C"/>
    <w:rsid w:val="22220DE5"/>
    <w:rsid w:val="22C713AB"/>
    <w:rsid w:val="22F43A1F"/>
    <w:rsid w:val="24B730FC"/>
    <w:rsid w:val="2805210F"/>
    <w:rsid w:val="28576CEA"/>
    <w:rsid w:val="297325AA"/>
    <w:rsid w:val="2990140F"/>
    <w:rsid w:val="2D216A3C"/>
    <w:rsid w:val="2E8E6608"/>
    <w:rsid w:val="31B006DA"/>
    <w:rsid w:val="33E617BD"/>
    <w:rsid w:val="34FC59D1"/>
    <w:rsid w:val="36125141"/>
    <w:rsid w:val="366D5496"/>
    <w:rsid w:val="3CF44D14"/>
    <w:rsid w:val="3E7C6B56"/>
    <w:rsid w:val="40966984"/>
    <w:rsid w:val="43063938"/>
    <w:rsid w:val="43BC6700"/>
    <w:rsid w:val="45E37C15"/>
    <w:rsid w:val="47CB3ECE"/>
    <w:rsid w:val="48161295"/>
    <w:rsid w:val="49687BBC"/>
    <w:rsid w:val="4BAD7DD3"/>
    <w:rsid w:val="4D411BCB"/>
    <w:rsid w:val="518065BB"/>
    <w:rsid w:val="532C00AA"/>
    <w:rsid w:val="534D6638"/>
    <w:rsid w:val="54ED5DAB"/>
    <w:rsid w:val="5573450E"/>
    <w:rsid w:val="55D954BE"/>
    <w:rsid w:val="55FE7053"/>
    <w:rsid w:val="5B876071"/>
    <w:rsid w:val="5B9571D0"/>
    <w:rsid w:val="61DE16F5"/>
    <w:rsid w:val="65D26704"/>
    <w:rsid w:val="698D1AEB"/>
    <w:rsid w:val="6BA84C7A"/>
    <w:rsid w:val="7048218F"/>
    <w:rsid w:val="70C15D8C"/>
    <w:rsid w:val="73C06E35"/>
    <w:rsid w:val="74F94E64"/>
    <w:rsid w:val="759624FB"/>
    <w:rsid w:val="75DE6045"/>
    <w:rsid w:val="77724C80"/>
    <w:rsid w:val="78612E89"/>
    <w:rsid w:val="78DB4966"/>
    <w:rsid w:val="7A083343"/>
    <w:rsid w:val="7A0A71CB"/>
    <w:rsid w:val="7B4C1F62"/>
    <w:rsid w:val="7B9D6F7B"/>
    <w:rsid w:val="7CA73254"/>
    <w:rsid w:val="7E557B7C"/>
    <w:rsid w:val="7FEF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954F72" w:themeColor="followedHyperlink"/>
      <w:u w:val="single"/>
      <w14:textFill>
        <w14:solidFill>
          <w14:schemeClr w14:val="folHlink"/>
        </w14:solidFill>
      </w14:textFill>
    </w:rPr>
  </w:style>
  <w:style w:type="character" w:styleId="13">
    <w:name w:val="Emphasis"/>
    <w:basedOn w:val="11"/>
    <w:qFormat/>
    <w:uiPriority w:val="20"/>
    <w:rPr>
      <w:i/>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1"/>
    <w:unhideWhenUsed/>
    <w:qFormat/>
    <w:uiPriority w:val="99"/>
    <w:rPr>
      <w:color w:val="808080"/>
      <w:shd w:val="clear" w:color="auto" w:fill="E6E6E6"/>
    </w:rPr>
  </w:style>
  <w:style w:type="character" w:customStyle="1" w:styleId="19">
    <w:name w:val="apple-converted-space"/>
    <w:basedOn w:val="11"/>
    <w:qFormat/>
    <w:uiPriority w:val="0"/>
  </w:style>
  <w:style w:type="character" w:customStyle="1" w:styleId="20">
    <w:name w:val="未处理的提及2"/>
    <w:basedOn w:val="11"/>
    <w:semiHidden/>
    <w:unhideWhenUsed/>
    <w:qFormat/>
    <w:uiPriority w:val="99"/>
    <w:rPr>
      <w:color w:val="808080"/>
      <w:shd w:val="clear" w:color="auto" w:fill="E6E6E6"/>
    </w:rPr>
  </w:style>
  <w:style w:type="character" w:customStyle="1" w:styleId="21">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7</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2025-09-10T09:10:23Z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