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钠</w:t>
      </w:r>
      <w:r>
        <w:rPr>
          <w:rFonts w:hint="eastAsia" w:asciiTheme="majorEastAsia" w:hAnsiTheme="majorEastAsia" w:eastAsiaTheme="majorEastAsia" w:cstheme="majorEastAsia"/>
          <w:b/>
          <w:bCs/>
          <w:sz w:val="44"/>
          <w:szCs w:val="44"/>
          <w:lang w:eastAsia="zh-CN"/>
        </w:rPr>
        <w:t>离子交换树脂再生剂项目</w:t>
      </w:r>
      <w:r>
        <w:rPr>
          <w:rFonts w:hint="eastAsia" w:ascii="宋体" w:hAnsi="宋体" w:eastAsia="宋体"/>
          <w:b/>
          <w:sz w:val="36"/>
          <w:szCs w:val="21"/>
          <w:lang w:val="en-US" w:eastAsia="zh-CN"/>
        </w:rPr>
        <w:t>（202507-3）材料目录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8"/>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8"/>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2、报价表：详见</w:t>
      </w:r>
      <w:r>
        <w:rPr>
          <w:rFonts w:hint="eastAsia" w:ascii="宋体" w:hAnsi="宋体" w:eastAsia="宋体" w:cstheme="minorBidi"/>
          <w:b/>
          <w:bCs w:val="0"/>
          <w:color w:val="auto"/>
          <w:kern w:val="2"/>
          <w:sz w:val="24"/>
          <w:szCs w:val="24"/>
          <w:lang w:val="en-US" w:eastAsia="zh-CN" w:bidi="ar-SA"/>
        </w:rPr>
        <w:t>附件2。</w:t>
      </w:r>
    </w:p>
    <w:p>
      <w:pPr>
        <w:pStyle w:val="18"/>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8"/>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8"/>
        <w:numPr>
          <w:ilvl w:val="0"/>
          <w:numId w:val="0"/>
        </w:numPr>
        <w:ind w:leftChars="0" w:firstLine="480" w:firstLineChars="200"/>
        <w:rPr>
          <w:rFonts w:hint="eastAsia"/>
          <w:sz w:val="24"/>
          <w:szCs w:val="24"/>
          <w:lang w:eastAsia="zh-CN"/>
        </w:rPr>
      </w:pPr>
      <w:r>
        <w:rPr>
          <w:rFonts w:hint="eastAsia"/>
          <w:sz w:val="24"/>
          <w:szCs w:val="24"/>
          <w:lang w:val="en-US" w:eastAsia="zh-CN"/>
        </w:rPr>
        <w:t>6、</w:t>
      </w:r>
      <w:r>
        <w:rPr>
          <w:rFonts w:hint="eastAsia"/>
          <w:sz w:val="24"/>
          <w:szCs w:val="24"/>
        </w:rPr>
        <w:t>产品彩页</w:t>
      </w:r>
      <w:r>
        <w:rPr>
          <w:rFonts w:hint="eastAsia"/>
          <w:sz w:val="24"/>
          <w:szCs w:val="24"/>
          <w:lang w:val="en-US" w:eastAsia="zh-CN"/>
        </w:rPr>
        <w:t>及相关资质</w:t>
      </w:r>
      <w:r>
        <w:rPr>
          <w:rFonts w:hint="eastAsia"/>
          <w:sz w:val="24"/>
          <w:szCs w:val="24"/>
        </w:rPr>
        <w:t>、产品说明书、</w:t>
      </w:r>
      <w:r>
        <w:rPr>
          <w:rFonts w:hint="eastAsia"/>
          <w:b/>
          <w:bCs/>
          <w:color w:val="FF0000"/>
          <w:sz w:val="24"/>
          <w:szCs w:val="24"/>
        </w:rPr>
        <w:t>产品实物图片</w:t>
      </w:r>
      <w:r>
        <w:rPr>
          <w:rFonts w:hint="eastAsia"/>
          <w:sz w:val="24"/>
          <w:szCs w:val="24"/>
          <w:lang w:eastAsia="zh-CN"/>
        </w:rPr>
        <w:t>。</w:t>
      </w:r>
    </w:p>
    <w:p>
      <w:pPr>
        <w:pStyle w:val="18"/>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FF0000"/>
          <w:kern w:val="2"/>
          <w:sz w:val="24"/>
          <w:szCs w:val="24"/>
          <w:lang w:val="en-US" w:eastAsia="zh-CN" w:bidi="ar-SA"/>
        </w:rPr>
      </w:pPr>
      <w:r>
        <w:rPr>
          <w:rFonts w:hint="eastAsia"/>
          <w:sz w:val="24"/>
          <w:szCs w:val="24"/>
          <w:lang w:val="en-US" w:eastAsia="zh-CN"/>
        </w:rPr>
        <w:t>7、</w:t>
      </w:r>
      <w:r>
        <w:rPr>
          <w:rFonts w:hint="eastAsia" w:ascii="宋体" w:hAnsi="宋体" w:eastAsia="宋体" w:cstheme="minorBidi"/>
          <w:b w:val="0"/>
          <w:bCs/>
          <w:color w:val="auto"/>
          <w:kern w:val="2"/>
          <w:sz w:val="24"/>
          <w:szCs w:val="24"/>
          <w:lang w:val="en-US" w:eastAsia="zh-CN" w:bidi="ar-SA"/>
        </w:rPr>
        <w:t>厂家资质、厂家授权书（若有中间级经销单位，也需提供其授权书，公司资质）、供应商资质、法人给业务员的授权书，附法人和业务员的身份证复印件，以及业务员在投标公司所缴纳社保证明。</w:t>
      </w:r>
    </w:p>
    <w:p>
      <w:pPr>
        <w:pStyle w:val="18"/>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8"/>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8"/>
        <w:numPr>
          <w:ilvl w:val="0"/>
          <w:numId w:val="0"/>
        </w:numPr>
        <w:ind w:leftChars="0" w:firstLine="480" w:firstLineChars="200"/>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ind w:firstLine="480" w:firstLineChars="200"/>
        <w:rPr>
          <w:rFonts w:hint="eastAsia" w:ascii="宋体" w:hAnsi="宋体" w:eastAsia="宋体" w:cstheme="minorBidi"/>
          <w:b/>
          <w:kern w:val="2"/>
          <w:sz w:val="28"/>
          <w:szCs w:val="28"/>
          <w:lang w:val="en-US" w:eastAsia="zh-CN" w:bidi="ar-SA"/>
        </w:rPr>
      </w:pPr>
      <w:r>
        <w:rPr>
          <w:rFonts w:hint="eastAsia" w:ascii="宋体" w:hAnsi="宋体" w:eastAsia="宋体"/>
          <w:color w:val="auto"/>
          <w:sz w:val="24"/>
          <w:szCs w:val="24"/>
          <w:lang w:val="en-US" w:eastAsia="zh-CN"/>
        </w:rPr>
        <w:t>11、</w:t>
      </w:r>
      <w:r>
        <w:rPr>
          <w:rFonts w:hint="eastAsia" w:ascii="宋体" w:hAnsi="宋体" w:eastAsia="宋体" w:cstheme="minorBidi"/>
          <w:b/>
          <w:kern w:val="2"/>
          <w:sz w:val="28"/>
          <w:szCs w:val="28"/>
          <w:lang w:val="en-US" w:eastAsia="zh-CN" w:bidi="ar-SA"/>
        </w:rPr>
        <w:t>评分表（见附件6）。</w:t>
      </w:r>
    </w:p>
    <w:p>
      <w:pPr>
        <w:pStyle w:val="2"/>
        <w:rPr>
          <w:rFonts w:hint="default"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 xml:space="preserve">   12、产品参数及要求</w:t>
      </w:r>
    </w:p>
    <w:p>
      <w:pPr>
        <w:keepNext w:val="0"/>
        <w:keepLines w:val="0"/>
        <w:widowControl/>
        <w:numPr>
          <w:numId w:val="0"/>
        </w:numPr>
        <w:suppressLineNumbers w:val="0"/>
        <w:spacing w:before="0" w:beforeAutospacing="1" w:after="0" w:afterAutospacing="1"/>
        <w:ind w:left="360" w:leftChars="0"/>
        <w:rPr>
          <w:rFonts w:hint="eastAsia" w:ascii="宋体" w:hAnsi="宋体" w:eastAsia="宋体" w:cs="宋体"/>
          <w:sz w:val="24"/>
          <w:szCs w:val="24"/>
        </w:rPr>
      </w:pPr>
      <w:r>
        <w:rPr>
          <w:rFonts w:hint="eastAsia" w:ascii="宋体" w:hAnsi="宋体" w:eastAsia="宋体" w:cs="宋体"/>
          <w:i w:val="0"/>
          <w:iCs w:val="0"/>
          <w:caps w:val="0"/>
          <w:color w:val="192338"/>
          <w:spacing w:val="5"/>
          <w:sz w:val="24"/>
          <w:szCs w:val="24"/>
          <w:shd w:val="clear" w:fill="FFFFFF"/>
          <w:lang w:val="en-US" w:eastAsia="zh-CN"/>
        </w:rPr>
        <w:t>(1)</w:t>
      </w:r>
      <w:r>
        <w:rPr>
          <w:rFonts w:hint="eastAsia" w:ascii="宋体" w:hAnsi="宋体" w:eastAsia="宋体" w:cs="宋体"/>
          <w:i w:val="0"/>
          <w:iCs w:val="0"/>
          <w:caps w:val="0"/>
          <w:color w:val="192338"/>
          <w:spacing w:val="5"/>
          <w:sz w:val="24"/>
          <w:szCs w:val="24"/>
          <w:shd w:val="clear" w:fill="FFFFFF"/>
        </w:rPr>
        <w:t>氯化钠含量：≥9</w:t>
      </w:r>
      <w:r>
        <w:rPr>
          <w:rFonts w:hint="eastAsia" w:ascii="宋体" w:hAnsi="宋体" w:eastAsia="宋体" w:cs="宋体"/>
          <w:i w:val="0"/>
          <w:iCs w:val="0"/>
          <w:caps w:val="0"/>
          <w:color w:val="192338"/>
          <w:spacing w:val="5"/>
          <w:sz w:val="24"/>
          <w:szCs w:val="24"/>
          <w:shd w:val="clear" w:fill="FFFFFF"/>
          <w:lang w:val="en-US" w:eastAsia="zh-CN"/>
        </w:rPr>
        <w:t>8</w:t>
      </w:r>
      <w:r>
        <w:rPr>
          <w:rFonts w:hint="eastAsia" w:ascii="宋体" w:hAnsi="宋体" w:eastAsia="宋体" w:cs="宋体"/>
          <w:i w:val="0"/>
          <w:iCs w:val="0"/>
          <w:caps w:val="0"/>
          <w:color w:val="192338"/>
          <w:spacing w:val="5"/>
          <w:sz w:val="24"/>
          <w:szCs w:val="24"/>
          <w:shd w:val="clear" w:fill="FFFFFF"/>
        </w:rPr>
        <w:t>.5%。</w:t>
      </w:r>
    </w:p>
    <w:p>
      <w:pPr>
        <w:keepNext w:val="0"/>
        <w:keepLines w:val="0"/>
        <w:widowControl/>
        <w:numPr>
          <w:ilvl w:val="0"/>
          <w:numId w:val="0"/>
        </w:numPr>
        <w:suppressLineNumbers w:val="0"/>
        <w:spacing w:before="0" w:beforeAutospacing="1" w:after="0" w:afterAutospacing="1"/>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水不溶物≤0.</w:t>
      </w:r>
      <w:r>
        <w:rPr>
          <w:rFonts w:hint="eastAsia" w:ascii="宋体" w:hAnsi="宋体" w:eastAsia="宋体" w:cs="宋体"/>
          <w:sz w:val="24"/>
          <w:szCs w:val="24"/>
          <w:lang w:val="en-US" w:eastAsia="zh-CN"/>
        </w:rPr>
        <w:t>1</w:t>
      </w:r>
      <w:r>
        <w:rPr>
          <w:rFonts w:hint="eastAsia" w:ascii="宋体" w:hAnsi="宋体" w:eastAsia="宋体" w:cs="宋体"/>
          <w:sz w:val="24"/>
          <w:szCs w:val="24"/>
        </w:rPr>
        <w:t>%（防止管路堵塞）</w:t>
      </w:r>
    </w:p>
    <w:p>
      <w:pPr>
        <w:keepNext w:val="0"/>
        <w:keepLines w:val="0"/>
        <w:widowControl/>
        <w:numPr>
          <w:ilvl w:val="0"/>
          <w:numId w:val="0"/>
        </w:numPr>
        <w:suppressLineNumbers w:val="0"/>
        <w:spacing w:before="0" w:beforeAutospacing="1" w:after="0" w:afterAutospacing="1"/>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钙镁离子总和≤0.4%（避免硬水风险）</w:t>
      </w:r>
    </w:p>
    <w:p>
      <w:pPr>
        <w:keepNext w:val="0"/>
        <w:keepLines w:val="0"/>
        <w:widowControl/>
        <w:numPr>
          <w:ilvl w:val="0"/>
          <w:numId w:val="0"/>
        </w:numPr>
        <w:suppressLineNumbers w:val="0"/>
        <w:spacing w:before="0" w:beforeAutospacing="1" w:after="0" w:afterAutospacing="1"/>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硫酸根离子≤0.5%（减少结垢风险）</w:t>
      </w:r>
    </w:p>
    <w:p>
      <w:pPr>
        <w:keepNext w:val="0"/>
        <w:keepLines w:val="0"/>
        <w:widowControl/>
        <w:numPr>
          <w:ilvl w:val="0"/>
          <w:numId w:val="0"/>
        </w:numPr>
        <w:suppressLineNumbers w:val="0"/>
        <w:spacing w:before="0" w:beforeAutospacing="1" w:after="0" w:afterAutospacing="1"/>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重金属限量：铅≤1 ppm、砷≤0.5 ppm（防止患者重金属中毒）。</w:t>
      </w:r>
    </w:p>
    <w:p>
      <w:pPr>
        <w:keepNext w:val="0"/>
        <w:keepLines w:val="0"/>
        <w:widowControl/>
        <w:suppressLineNumbers w:val="0"/>
        <w:ind w:left="479" w:leftChars="228"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Style w:val="12"/>
          <w:rFonts w:hint="eastAsia" w:ascii="宋体" w:hAnsi="宋体" w:eastAsia="宋体" w:cs="宋体"/>
          <w:sz w:val="24"/>
          <w:szCs w:val="24"/>
        </w:rPr>
        <w:t>形态与溶解性</w:t>
      </w:r>
      <w:r>
        <w:rPr>
          <w:rFonts w:hint="eastAsia" w:ascii="宋体" w:hAnsi="宋体" w:eastAsia="宋体" w:cs="宋体"/>
          <w:sz w:val="24"/>
          <w:szCs w:val="24"/>
        </w:rPr>
        <w:t>​</w:t>
      </w:r>
    </w:p>
    <w:p>
      <w:pPr>
        <w:keepNext w:val="0"/>
        <w:keepLines w:val="0"/>
        <w:widowControl/>
        <w:numPr>
          <w:ilvl w:val="0"/>
          <w:numId w:val="0"/>
        </w:numPr>
        <w:suppressLineNumbers w:val="0"/>
        <w:spacing w:before="0" w:beforeAutospacing="1" w:after="0" w:afterAutospacing="1"/>
        <w:ind w:firstLine="480" w:firstLineChars="200"/>
        <w:rPr>
          <w:rFonts w:hint="eastAsia" w:ascii="宋体" w:hAnsi="宋体" w:eastAsia="宋体" w:cs="宋体"/>
          <w:sz w:val="24"/>
          <w:szCs w:val="24"/>
        </w:rPr>
      </w:pPr>
      <w:r>
        <w:rPr>
          <w:rFonts w:hint="eastAsia" w:ascii="宋体" w:hAnsi="宋体" w:eastAsia="宋体" w:cs="宋体"/>
          <w:sz w:val="24"/>
          <w:szCs w:val="24"/>
        </w:rPr>
        <w:t>①形状为白色规则几何体（如扁圆柱体），溶解时保持形态稳定，避免散坨堵塞吸盐管路。</w:t>
      </w:r>
    </w:p>
    <w:p>
      <w:pPr>
        <w:keepNext w:val="0"/>
        <w:keepLines w:val="0"/>
        <w:widowControl/>
        <w:numPr>
          <w:ilvl w:val="0"/>
          <w:numId w:val="0"/>
        </w:numPr>
        <w:suppressLineNumbers w:val="0"/>
        <w:spacing w:before="0" w:beforeAutospacing="1" w:after="0" w:afterAutospacing="1"/>
        <w:ind w:firstLine="480" w:firstLineChars="200"/>
        <w:rPr>
          <w:rFonts w:hint="eastAsia" w:ascii="宋体" w:hAnsi="宋体" w:eastAsia="宋体" w:cs="宋体"/>
          <w:sz w:val="24"/>
          <w:szCs w:val="24"/>
        </w:rPr>
      </w:pPr>
      <w:r>
        <w:rPr>
          <w:rFonts w:hint="eastAsia" w:ascii="宋体" w:hAnsi="宋体" w:eastAsia="宋体" w:cs="宋体"/>
          <w:sz w:val="24"/>
          <w:szCs w:val="24"/>
        </w:rPr>
        <w:t>②快速均匀溶解，确保再生液浓度稳定（通常为5-10% NaCl溶液）。</w:t>
      </w:r>
    </w:p>
    <w:p>
      <w:pPr>
        <w:keepNext w:val="0"/>
        <w:keepLines w:val="0"/>
        <w:widowControl/>
        <w:numPr>
          <w:ilvl w:val="0"/>
          <w:numId w:val="0"/>
        </w:numPr>
        <w:suppressLineNumbers w:val="0"/>
        <w:spacing w:before="0" w:beforeAutospacing="1" w:after="0" w:afterAutospacing="1"/>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rPr>
        <w:t>密封防潮包装，标注“医药专用”或“透析专用”，有效期≥</w:t>
      </w:r>
      <w:r>
        <w:rPr>
          <w:rFonts w:hint="eastAsia" w:ascii="宋体" w:hAnsi="宋体" w:eastAsia="宋体" w:cs="宋体"/>
          <w:sz w:val="24"/>
          <w:szCs w:val="24"/>
          <w:lang w:val="en-US" w:eastAsia="zh-CN"/>
        </w:rPr>
        <w:t>24</w:t>
      </w:r>
      <w:r>
        <w:rPr>
          <w:rFonts w:hint="eastAsia" w:ascii="宋体" w:hAnsi="宋体" w:eastAsia="宋体" w:cs="宋体"/>
          <w:sz w:val="24"/>
          <w:szCs w:val="24"/>
        </w:rPr>
        <w:t>个月。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firstLine="500" w:firstLineChars="200"/>
        <w:rPr>
          <w:rFonts w:hint="eastAsia" w:ascii="宋体" w:hAnsi="宋体" w:eastAsia="宋体" w:cs="宋体"/>
          <w:sz w:val="24"/>
          <w:szCs w:val="24"/>
        </w:rPr>
      </w:pPr>
      <w:r>
        <w:rPr>
          <w:rFonts w:hint="eastAsia" w:ascii="宋体" w:hAnsi="宋体" w:eastAsia="宋体" w:cs="宋体"/>
          <w:i w:val="0"/>
          <w:iCs w:val="0"/>
          <w:caps w:val="0"/>
          <w:color w:val="192338"/>
          <w:spacing w:val="5"/>
          <w:sz w:val="24"/>
          <w:szCs w:val="24"/>
          <w:shd w:val="clear" w:fill="FFFFFF"/>
          <w:lang w:eastAsia="zh-CN"/>
        </w:rPr>
        <w:t>（</w:t>
      </w:r>
      <w:r>
        <w:rPr>
          <w:rFonts w:hint="eastAsia" w:ascii="宋体" w:hAnsi="宋体" w:eastAsia="宋体" w:cs="宋体"/>
          <w:i w:val="0"/>
          <w:iCs w:val="0"/>
          <w:caps w:val="0"/>
          <w:color w:val="192338"/>
          <w:spacing w:val="5"/>
          <w:sz w:val="24"/>
          <w:szCs w:val="24"/>
          <w:shd w:val="clear" w:fill="FFFFFF"/>
          <w:lang w:val="en-US" w:eastAsia="zh-CN"/>
        </w:rPr>
        <w:t>8）</w:t>
      </w:r>
      <w:r>
        <w:rPr>
          <w:rFonts w:hint="eastAsia" w:ascii="宋体" w:hAnsi="宋体" w:eastAsia="宋体" w:cs="宋体"/>
          <w:i w:val="0"/>
          <w:iCs w:val="0"/>
          <w:caps w:val="0"/>
          <w:color w:val="192338"/>
          <w:spacing w:val="5"/>
          <w:sz w:val="24"/>
          <w:szCs w:val="24"/>
          <w:shd w:val="clear" w:fill="FFFFFF"/>
        </w:rPr>
        <w:t>包装规格：</w:t>
      </w:r>
      <w:r>
        <w:rPr>
          <w:rFonts w:hint="eastAsia" w:ascii="宋体" w:hAnsi="宋体" w:eastAsia="宋体" w:cs="宋体"/>
          <w:i w:val="0"/>
          <w:iCs w:val="0"/>
          <w:caps w:val="0"/>
          <w:color w:val="192338"/>
          <w:spacing w:val="5"/>
          <w:sz w:val="24"/>
          <w:szCs w:val="24"/>
          <w:shd w:val="clear" w:fill="FFFFFF"/>
          <w:lang w:val="en-US" w:eastAsia="zh-CN"/>
        </w:rPr>
        <w:t>2</w:t>
      </w:r>
      <w:r>
        <w:rPr>
          <w:rFonts w:hint="eastAsia" w:ascii="宋体" w:hAnsi="宋体" w:eastAsia="宋体" w:cs="宋体"/>
          <w:i w:val="0"/>
          <w:iCs w:val="0"/>
          <w:caps w:val="0"/>
          <w:color w:val="192338"/>
          <w:spacing w:val="5"/>
          <w:sz w:val="24"/>
          <w:szCs w:val="24"/>
          <w:shd w:val="clear" w:fill="FFFFFF"/>
        </w:rPr>
        <w:t>0kg/袋</w:t>
      </w:r>
      <w:r>
        <w:rPr>
          <w:rFonts w:hint="eastAsia" w:ascii="宋体" w:hAnsi="宋体" w:eastAsia="宋体" w:cs="宋体"/>
          <w:i w:val="0"/>
          <w:iCs w:val="0"/>
          <w:caps w:val="0"/>
          <w:color w:val="192338"/>
          <w:spacing w:val="5"/>
          <w:sz w:val="24"/>
          <w:szCs w:val="24"/>
          <w:shd w:val="clear" w:fill="FFFFFF"/>
          <w:lang w:val="en-US" w:eastAsia="zh-CN"/>
        </w:rPr>
        <w:t>或10</w:t>
      </w:r>
      <w:r>
        <w:rPr>
          <w:rFonts w:hint="eastAsia" w:ascii="宋体" w:hAnsi="宋体" w:eastAsia="宋体" w:cs="宋体"/>
          <w:i w:val="0"/>
          <w:iCs w:val="0"/>
          <w:caps w:val="0"/>
          <w:color w:val="192338"/>
          <w:spacing w:val="5"/>
          <w:sz w:val="24"/>
          <w:szCs w:val="24"/>
          <w:shd w:val="clear" w:fill="FFFFFF"/>
        </w:rPr>
        <w:t>kg/袋</w:t>
      </w:r>
      <w:r>
        <w:rPr>
          <w:rFonts w:hint="eastAsia" w:ascii="宋体" w:hAnsi="宋体" w:eastAsia="宋体" w:cs="宋体"/>
          <w:i w:val="0"/>
          <w:iCs w:val="0"/>
          <w:caps w:val="0"/>
          <w:color w:val="192338"/>
          <w:spacing w:val="5"/>
          <w:sz w:val="24"/>
          <w:szCs w:val="24"/>
          <w:shd w:val="clear" w:fill="FFFFFF"/>
          <w:lang w:eastAsia="zh-CN"/>
        </w:rPr>
        <w:t>，</w:t>
      </w:r>
      <w:r>
        <w:rPr>
          <w:rFonts w:hint="eastAsia" w:ascii="宋体" w:hAnsi="宋体" w:eastAsia="宋体" w:cs="宋体"/>
          <w:i w:val="0"/>
          <w:iCs w:val="0"/>
          <w:caps w:val="0"/>
          <w:color w:val="192338"/>
          <w:spacing w:val="5"/>
          <w:sz w:val="24"/>
          <w:szCs w:val="24"/>
          <w:shd w:val="clear" w:fill="FFFFFF"/>
        </w:rPr>
        <w:t>附产品标签（含成分、生产日期、批号等）。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right="0" w:rightChars="0" w:firstLine="500" w:firstLineChars="200"/>
        <w:rPr>
          <w:rFonts w:hint="eastAsia" w:ascii="宋体" w:hAnsi="宋体" w:eastAsia="宋体" w:cs="宋体"/>
          <w:i w:val="0"/>
          <w:iCs w:val="0"/>
          <w:caps w:val="0"/>
          <w:color w:val="192338"/>
          <w:spacing w:val="5"/>
          <w:sz w:val="24"/>
          <w:szCs w:val="24"/>
          <w:shd w:val="clear" w:fill="FFFFFF"/>
        </w:rPr>
      </w:pPr>
      <w:r>
        <w:rPr>
          <w:rFonts w:hint="eastAsia" w:ascii="宋体" w:hAnsi="宋体" w:eastAsia="宋体" w:cs="宋体"/>
          <w:i w:val="0"/>
          <w:iCs w:val="0"/>
          <w:caps w:val="0"/>
          <w:color w:val="192338"/>
          <w:spacing w:val="5"/>
          <w:sz w:val="24"/>
          <w:szCs w:val="24"/>
          <w:shd w:val="clear" w:fill="FFFFFF"/>
          <w:lang w:val="en-US" w:eastAsia="zh-CN"/>
        </w:rPr>
        <w:t>(9)</w:t>
      </w:r>
      <w:r>
        <w:rPr>
          <w:rFonts w:hint="eastAsia" w:ascii="宋体" w:hAnsi="宋体" w:eastAsia="宋体" w:cs="宋体"/>
          <w:i w:val="0"/>
          <w:iCs w:val="0"/>
          <w:caps w:val="0"/>
          <w:color w:val="192338"/>
          <w:spacing w:val="5"/>
          <w:sz w:val="24"/>
          <w:szCs w:val="24"/>
          <w:shd w:val="clear" w:fill="FFFFFF"/>
        </w:rPr>
        <w:t>运输</w:t>
      </w:r>
      <w:r>
        <w:rPr>
          <w:rFonts w:hint="eastAsia" w:ascii="宋体" w:hAnsi="宋体" w:eastAsia="宋体" w:cs="宋体"/>
          <w:i w:val="0"/>
          <w:iCs w:val="0"/>
          <w:caps w:val="0"/>
          <w:color w:val="192338"/>
          <w:spacing w:val="5"/>
          <w:sz w:val="24"/>
          <w:szCs w:val="24"/>
          <w:shd w:val="clear" w:fill="FFFFFF"/>
          <w:lang w:val="en-US" w:eastAsia="zh-CN"/>
        </w:rPr>
        <w:t>过程</w:t>
      </w:r>
      <w:r>
        <w:rPr>
          <w:rFonts w:hint="eastAsia" w:ascii="宋体" w:hAnsi="宋体" w:eastAsia="宋体" w:cs="宋体"/>
          <w:i w:val="0"/>
          <w:iCs w:val="0"/>
          <w:caps w:val="0"/>
          <w:color w:val="192338"/>
          <w:spacing w:val="5"/>
          <w:sz w:val="24"/>
          <w:szCs w:val="24"/>
          <w:shd w:val="clear" w:fill="FFFFFF"/>
        </w:rPr>
        <w:t>要求：防潮、防晒，避免剧烈震动。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right="0" w:rightChars="0" w:firstLine="500" w:firstLineChars="200"/>
        <w:rPr>
          <w:rFonts w:hint="eastAsia" w:ascii="宋体" w:hAnsi="宋体" w:eastAsia="宋体" w:cs="宋体"/>
          <w:spacing w:val="5"/>
          <w:sz w:val="24"/>
          <w:szCs w:val="24"/>
        </w:rPr>
      </w:pPr>
      <w:r>
        <w:rPr>
          <w:rFonts w:hint="eastAsia" w:ascii="宋体" w:hAnsi="宋体" w:eastAsia="宋体" w:cs="宋体"/>
          <w:i w:val="0"/>
          <w:iCs w:val="0"/>
          <w:caps w:val="0"/>
          <w:color w:val="192338"/>
          <w:spacing w:val="5"/>
          <w:sz w:val="24"/>
          <w:szCs w:val="24"/>
          <w:shd w:val="clear" w:fill="FFFFFF"/>
          <w:lang w:val="en-US" w:eastAsia="zh-CN"/>
        </w:rPr>
        <w:t>（10）</w:t>
      </w:r>
      <w:r>
        <w:rPr>
          <w:rFonts w:hint="eastAsia" w:ascii="宋体" w:hAnsi="宋体" w:eastAsia="宋体" w:cs="宋体"/>
          <w:i w:val="0"/>
          <w:iCs w:val="0"/>
          <w:caps w:val="0"/>
          <w:color w:val="192338"/>
          <w:spacing w:val="5"/>
          <w:sz w:val="24"/>
          <w:szCs w:val="24"/>
          <w:shd w:val="clear" w:fill="FFFFFF"/>
        </w:rPr>
        <w:t>供应商资格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360" w:leftChars="0" w:right="0" w:rightChars="0" w:firstLine="500" w:firstLineChars="200"/>
        <w:rPr>
          <w:rFonts w:hint="eastAsia" w:ascii="宋体" w:hAnsi="宋体" w:eastAsia="宋体" w:cs="宋体"/>
          <w:i w:val="0"/>
          <w:iCs w:val="0"/>
          <w:caps w:val="0"/>
          <w:color w:val="2D384E"/>
          <w:spacing w:val="5"/>
          <w:sz w:val="24"/>
          <w:szCs w:val="24"/>
          <w:shd w:val="clear" w:fill="FFFFFF"/>
          <w:lang w:val="en-US" w:eastAsia="zh-CN"/>
        </w:rPr>
      </w:pPr>
      <w:r>
        <w:rPr>
          <w:rFonts w:hint="eastAsia" w:ascii="宋体" w:hAnsi="宋体" w:eastAsia="宋体" w:cs="宋体"/>
          <w:i w:val="0"/>
          <w:iCs w:val="0"/>
          <w:caps w:val="0"/>
          <w:color w:val="192338"/>
          <w:spacing w:val="5"/>
          <w:sz w:val="24"/>
          <w:szCs w:val="24"/>
          <w:shd w:val="clear" w:fill="FFFFFF"/>
        </w:rPr>
        <w:t>需提供有效期内的营业执照副本复印件，经营范围需包含相关耗材销售。生产企业：需提供</w:t>
      </w:r>
      <w:r>
        <w:rPr>
          <w:rFonts w:hint="eastAsia" w:ascii="宋体" w:hAnsi="宋体" w:eastAsia="宋体" w:cs="宋体"/>
          <w:i w:val="0"/>
          <w:iCs w:val="0"/>
          <w:caps w:val="0"/>
          <w:color w:val="192338"/>
          <w:spacing w:val="5"/>
          <w:sz w:val="24"/>
          <w:szCs w:val="24"/>
          <w:shd w:val="clear" w:fill="FFFFFF"/>
          <w:lang w:val="en-US" w:eastAsia="zh-CN"/>
        </w:rPr>
        <w:t>医疗器械经营</w:t>
      </w:r>
      <w:r>
        <w:rPr>
          <w:rFonts w:hint="eastAsia" w:ascii="宋体" w:hAnsi="宋体" w:eastAsia="宋体" w:cs="宋体"/>
          <w:i w:val="0"/>
          <w:iCs w:val="0"/>
          <w:caps w:val="0"/>
          <w:color w:val="192338"/>
          <w:spacing w:val="5"/>
          <w:sz w:val="24"/>
          <w:szCs w:val="24"/>
          <w:shd w:val="clear" w:fill="FFFFFF"/>
        </w:rPr>
        <w:t>备案凭证</w:t>
      </w:r>
      <w:r>
        <w:rPr>
          <w:rFonts w:hint="eastAsia" w:ascii="宋体" w:hAnsi="宋体" w:eastAsia="宋体" w:cs="宋体"/>
          <w:i w:val="0"/>
          <w:iCs w:val="0"/>
          <w:caps w:val="0"/>
          <w:color w:val="192338"/>
          <w:spacing w:val="5"/>
          <w:sz w:val="24"/>
          <w:szCs w:val="24"/>
          <w:shd w:val="clear" w:fill="FFFFFF"/>
          <w:lang w:val="en-US" w:eastAsia="zh-CN"/>
        </w:rPr>
        <w:t>及相关质量管理体系认证，</w:t>
      </w:r>
      <w:r>
        <w:rPr>
          <w:rFonts w:hint="eastAsia" w:ascii="宋体" w:hAnsi="宋体" w:eastAsia="宋体" w:cs="宋体"/>
          <w:i w:val="0"/>
          <w:iCs w:val="0"/>
          <w:caps w:val="0"/>
          <w:color w:val="192338"/>
          <w:spacing w:val="5"/>
          <w:sz w:val="24"/>
          <w:szCs w:val="24"/>
          <w:shd w:val="clear" w:fill="FFFFFF"/>
        </w:rPr>
        <w:t>证明产品符合标准（如YY0572-2015透析用水要求）。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40" w:leftChars="-19" w:right="0" w:rightChars="0" w:firstLine="250" w:firstLineChars="100"/>
        <w:jc w:val="left"/>
        <w:rPr>
          <w:rFonts w:hint="eastAsia" w:ascii="宋体" w:hAnsi="宋体" w:eastAsia="宋体" w:cs="宋体"/>
          <w:sz w:val="24"/>
          <w:szCs w:val="24"/>
        </w:rPr>
      </w:pPr>
      <w:r>
        <w:rPr>
          <w:rFonts w:hint="eastAsia" w:ascii="宋体" w:hAnsi="宋体" w:eastAsia="宋体" w:cs="宋体"/>
          <w:i w:val="0"/>
          <w:iCs w:val="0"/>
          <w:caps w:val="0"/>
          <w:color w:val="2D384E"/>
          <w:spacing w:val="5"/>
          <w:sz w:val="24"/>
          <w:szCs w:val="24"/>
          <w:shd w:val="clear" w:fill="FFFFFF"/>
        </w:rPr>
        <w:t>检测报告：要求提供第三方检测报告，证明产品符合QBT5775-2022（轻工行业标准）。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360" w:leftChars="0" w:right="0" w:rightChars="0" w:firstLine="500" w:firstLineChars="200"/>
        <w:rPr>
          <w:rFonts w:hint="eastAsia" w:ascii="宋体" w:hAnsi="宋体" w:eastAsia="宋体" w:cs="宋体"/>
          <w:i w:val="0"/>
          <w:iCs w:val="0"/>
          <w:caps w:val="0"/>
          <w:color w:val="192338"/>
          <w:spacing w:val="5"/>
          <w:sz w:val="24"/>
          <w:szCs w:val="24"/>
          <w:shd w:val="clear" w:fill="FFFFFF"/>
        </w:rPr>
      </w:pPr>
      <w:r>
        <w:rPr>
          <w:rFonts w:hint="eastAsia" w:ascii="宋体" w:hAnsi="宋体" w:eastAsia="宋体" w:cs="宋体"/>
          <w:i w:val="0"/>
          <w:iCs w:val="0"/>
          <w:caps w:val="0"/>
          <w:color w:val="192338"/>
          <w:spacing w:val="5"/>
          <w:sz w:val="24"/>
          <w:szCs w:val="24"/>
          <w:shd w:val="clear" w:fill="FFFFFF"/>
        </w:rPr>
        <w:t>信用记录：无重大违法记录，未被列入失信被执行人名单。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right="0" w:rightChars="0" w:firstLine="250" w:firstLineChars="100"/>
        <w:rPr>
          <w:rFonts w:hint="eastAsia" w:ascii="宋体" w:hAnsi="宋体" w:eastAsia="宋体" w:cs="宋体"/>
          <w:i w:val="0"/>
          <w:iCs w:val="0"/>
          <w:caps w:val="0"/>
          <w:color w:val="2D384E"/>
          <w:spacing w:val="5"/>
          <w:sz w:val="24"/>
          <w:szCs w:val="24"/>
        </w:rPr>
      </w:pPr>
      <w:r>
        <w:rPr>
          <w:rFonts w:hint="eastAsia" w:ascii="宋体" w:hAnsi="宋体" w:eastAsia="宋体" w:cs="宋体"/>
          <w:i w:val="0"/>
          <w:iCs w:val="0"/>
          <w:caps w:val="0"/>
          <w:color w:val="192338"/>
          <w:spacing w:val="5"/>
          <w:sz w:val="24"/>
          <w:szCs w:val="24"/>
          <w:shd w:val="clear" w:fill="FFFFFF"/>
          <w:lang w:val="en-US" w:eastAsia="zh-CN"/>
        </w:rPr>
        <w:t>（11）售后服务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1000" w:right="0" w:rightChars="0" w:hanging="1000" w:hangingChars="400"/>
        <w:rPr>
          <w:rFonts w:hint="eastAsia" w:ascii="宋体" w:hAnsi="宋体" w:eastAsia="宋体" w:cs="宋体"/>
          <w:i w:val="0"/>
          <w:iCs w:val="0"/>
          <w:caps w:val="0"/>
          <w:color w:val="2D384E"/>
          <w:spacing w:val="5"/>
          <w:sz w:val="24"/>
          <w:szCs w:val="24"/>
          <w:shd w:val="clear" w:fill="FFFFFF"/>
        </w:rPr>
      </w:pPr>
      <w:r>
        <w:rPr>
          <w:rFonts w:hint="eastAsia" w:ascii="宋体" w:hAnsi="宋体" w:eastAsia="宋体" w:cs="宋体"/>
          <w:i w:val="0"/>
          <w:iCs w:val="0"/>
          <w:caps w:val="0"/>
          <w:color w:val="2D384E"/>
          <w:spacing w:val="5"/>
          <w:sz w:val="24"/>
          <w:szCs w:val="24"/>
          <w:shd w:val="clear" w:fill="FFFFFF"/>
        </w:rPr>
        <w:t>供货期与响应：明确供货周期（如按需分批供货）及紧急配送要求，免费提供技术支持。</w:t>
      </w:r>
      <w:r>
        <w:rPr>
          <w:rFonts w:hint="eastAsia" w:ascii="宋体" w:hAnsi="宋体" w:eastAsia="宋体" w:cs="宋体"/>
          <w:sz w:val="24"/>
          <w:szCs w:val="24"/>
        </w:rPr>
        <w:t xml:space="preserve"> </w:t>
      </w:r>
      <w:r>
        <w:rPr>
          <w:rFonts w:hint="eastAsia" w:ascii="宋体" w:hAnsi="宋体" w:eastAsia="宋体" w:cs="宋体"/>
          <w:i w:val="0"/>
          <w:iCs w:val="0"/>
          <w:caps w:val="0"/>
          <w:color w:val="2D384E"/>
          <w:spacing w:val="5"/>
          <w:sz w:val="24"/>
          <w:szCs w:val="24"/>
          <w:shd w:val="clear" w:fill="FFFFFF"/>
        </w:rPr>
        <w:t>质保与退换：要求产品质保期≥2年，提供不合格品退换服务。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1000" w:right="0" w:rightChars="0" w:hanging="1000" w:hangingChars="400"/>
        <w:rPr>
          <w:rFonts w:hint="eastAsia" w:ascii="宋体" w:hAnsi="宋体" w:eastAsia="宋体" w:cs="宋体"/>
          <w:i w:val="0"/>
          <w:iCs w:val="0"/>
          <w:caps w:val="0"/>
          <w:color w:val="2D384E"/>
          <w:spacing w:val="5"/>
          <w:sz w:val="24"/>
          <w:szCs w:val="24"/>
          <w:shd w:val="clear" w:fill="FFFFFF"/>
          <w:lang w:val="en-US" w:eastAsia="zh-CN"/>
        </w:rPr>
      </w:pPr>
      <w:r>
        <w:rPr>
          <w:rFonts w:hint="eastAsia" w:ascii="宋体" w:hAnsi="宋体" w:eastAsia="宋体" w:cs="宋体"/>
          <w:i w:val="0"/>
          <w:iCs w:val="0"/>
          <w:caps w:val="0"/>
          <w:color w:val="2D384E"/>
          <w:spacing w:val="5"/>
          <w:sz w:val="24"/>
          <w:szCs w:val="24"/>
          <w:shd w:val="clear" w:fill="FFFFFF"/>
          <w:lang w:val="en-US" w:eastAsia="zh-CN"/>
        </w:rPr>
        <w:t>（12）预算单价：48元/袋（20kg）或24元/袋（10kg）含运费</w:t>
      </w:r>
    </w:p>
    <w:p>
      <w:pPr>
        <w:pStyle w:val="2"/>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 w:val="0"/>
          <w:color w:val="auto"/>
          <w:kern w:val="0"/>
          <w:sz w:val="24"/>
          <w:szCs w:val="24"/>
          <w:u w:val="none"/>
          <w:lang w:val="en-US" w:eastAsia="zh-CN" w:bidi="ar"/>
        </w:rPr>
        <w:t>备注：本项目说明中所提出的参数和标准仅系说明并非进行限制，供应商可提出替代的参数和标准，并在技术文件中详细说明，但该替代应不低于本文件的规定和要求（本报价包含）。</w:t>
      </w:r>
    </w:p>
    <w:p>
      <w:pPr>
        <w:pStyle w:val="2"/>
        <w:rPr>
          <w:rFonts w:hint="eastAsia" w:ascii="宋体" w:hAnsi="宋体" w:eastAsia="宋体" w:cs="宋体"/>
          <w:b/>
          <w:kern w:val="2"/>
          <w:sz w:val="24"/>
          <w:szCs w:val="24"/>
          <w:lang w:val="en-US" w:eastAsia="zh-CN" w:bidi="ar-SA"/>
        </w:rPr>
      </w:pPr>
    </w:p>
    <w:p>
      <w:pPr>
        <w:rPr>
          <w:rFonts w:hint="eastAsia" w:ascii="宋体" w:hAnsi="宋体" w:eastAsia="宋体" w:cs="宋体"/>
          <w:sz w:val="24"/>
          <w:szCs w:val="24"/>
        </w:rPr>
      </w:pPr>
    </w:p>
    <w:p>
      <w:pPr>
        <w:adjustRightInd w:val="0"/>
        <w:spacing w:before="160" w:after="160"/>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请将上述所有文件</w:t>
      </w:r>
      <w:r>
        <w:rPr>
          <w:rFonts w:hint="eastAsia" w:ascii="宋体" w:hAnsi="宋体" w:eastAsia="宋体" w:cs="宋体"/>
          <w:b/>
          <w:bCs/>
          <w:color w:val="FF0000"/>
          <w:sz w:val="24"/>
          <w:szCs w:val="24"/>
        </w:rPr>
        <w:t>每页加盖报名公司公章</w:t>
      </w:r>
      <w:r>
        <w:rPr>
          <w:rFonts w:hint="eastAsia" w:ascii="宋体" w:hAnsi="宋体" w:eastAsia="宋体" w:cs="宋体"/>
          <w:sz w:val="24"/>
          <w:szCs w:val="24"/>
        </w:rPr>
        <w:t>后，上传至</w:t>
      </w:r>
      <w:r>
        <w:rPr>
          <w:rFonts w:hint="eastAsia" w:ascii="宋体" w:hAnsi="宋体" w:eastAsia="宋体" w:cs="宋体"/>
          <w:sz w:val="24"/>
          <w:szCs w:val="24"/>
          <w:lang w:val="en-US" w:eastAsia="zh-CN"/>
        </w:rPr>
        <w:t>指定邮箱。</w:t>
      </w:r>
      <w:r>
        <w:rPr>
          <w:rFonts w:hint="eastAsia" w:ascii="宋体" w:hAnsi="宋体" w:eastAsia="宋体" w:cs="宋体"/>
          <w:sz w:val="24"/>
          <w:szCs w:val="24"/>
        </w:rPr>
        <w:t>一份纸质版材料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待采购会时</w:t>
      </w:r>
      <w:bookmarkStart w:id="0" w:name="_Hlk107847759"/>
      <w:r>
        <w:rPr>
          <w:rFonts w:hint="eastAsia" w:ascii="宋体" w:hAnsi="宋体" w:eastAsia="宋体" w:cs="宋体"/>
          <w:sz w:val="24"/>
          <w:szCs w:val="24"/>
          <w:lang w:val="en-US" w:eastAsia="zh-CN"/>
        </w:rPr>
        <w:t>提交</w:t>
      </w:r>
      <w:r>
        <w:rPr>
          <w:rFonts w:hint="eastAsia" w:ascii="宋体" w:hAnsi="宋体" w:eastAsia="宋体" w:cs="宋体"/>
          <w:sz w:val="24"/>
          <w:szCs w:val="24"/>
        </w:rPr>
        <w:t>。</w:t>
      </w:r>
      <w:bookmarkEnd w:id="0"/>
      <w:r>
        <w:rPr>
          <w:rFonts w:hint="eastAsia" w:ascii="宋体" w:hAnsi="宋体" w:eastAsia="宋体" w:cs="宋体"/>
          <w:sz w:val="24"/>
          <w:szCs w:val="24"/>
          <w:lang w:val="en-US" w:eastAsia="zh-CN"/>
        </w:rPr>
        <w:t>请</w:t>
      </w:r>
      <w:r>
        <w:rPr>
          <w:rFonts w:hint="eastAsia" w:ascii="宋体" w:hAnsi="宋体" w:eastAsia="宋体" w:cs="宋体"/>
          <w:sz w:val="24"/>
          <w:szCs w:val="24"/>
        </w:rPr>
        <w:t>严格按照本清单内容递交报名材料，否则视为自动弃权！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递交材料经院方审核通过后，医院会发邮件通知正式商谈的具体时间地点，届时请带1份书面报价单（格式如下），要求密封，报价单和密封信封上加盖公司公章，现场递交。</w:t>
      </w:r>
    </w:p>
    <w:p>
      <w:pPr>
        <w:pStyle w:val="18"/>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8"/>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8"/>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jc w:val="center"/>
        <w:rPr>
          <w:rFonts w:ascii="黑体" w:hAnsi="宋体" w:eastAsia="黑体"/>
          <w:sz w:val="24"/>
          <w:szCs w:val="52"/>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lang w:val="en-US" w:eastAsia="zh-CN"/>
        </w:rPr>
      </w:pPr>
      <w:r>
        <w:rPr>
          <w:rFonts w:hint="eastAsia" w:ascii="黑体" w:hAnsi="宋体" w:eastAsia="黑体"/>
          <w:sz w:val="48"/>
          <w:szCs w:val="52"/>
          <w:lang w:val="en-US" w:eastAsia="zh-CN"/>
        </w:rPr>
        <w:t>威海市立医院</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lang w:val="en-US" w:eastAsia="zh-CN"/>
        </w:rPr>
      </w:pPr>
      <w:r>
        <w:rPr>
          <w:rFonts w:hint="eastAsia" w:asciiTheme="majorEastAsia" w:hAnsiTheme="majorEastAsia" w:eastAsiaTheme="majorEastAsia" w:cstheme="majorEastAsia"/>
          <w:b/>
          <w:bCs/>
          <w:sz w:val="44"/>
          <w:szCs w:val="44"/>
          <w:lang w:val="en-US" w:eastAsia="zh-CN"/>
        </w:rPr>
        <w:t>钠</w:t>
      </w:r>
      <w:r>
        <w:rPr>
          <w:rFonts w:hint="eastAsia" w:asciiTheme="majorEastAsia" w:hAnsiTheme="majorEastAsia" w:eastAsiaTheme="majorEastAsia" w:cstheme="majorEastAsia"/>
          <w:b/>
          <w:bCs/>
          <w:sz w:val="44"/>
          <w:szCs w:val="44"/>
          <w:lang w:eastAsia="zh-CN"/>
        </w:rPr>
        <w:t>离子交换树脂再生剂项目</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编号（202507-3）</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p/>
    <w:tbl>
      <w:tblPr>
        <w:tblStyle w:val="10"/>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100"/>
        <w:gridCol w:w="1050"/>
        <w:gridCol w:w="1350"/>
        <w:gridCol w:w="1254"/>
        <w:gridCol w:w="1254"/>
        <w:gridCol w:w="103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26" w:type="dxa"/>
            <w:vAlign w:val="center"/>
          </w:tcPr>
          <w:p>
            <w:pPr>
              <w:jc w:val="center"/>
              <w:rPr>
                <w:rFonts w:hint="eastAsia" w:eastAsiaTheme="minorEastAsia"/>
                <w:vertAlign w:val="baseline"/>
                <w:lang w:eastAsia="zh-CN"/>
              </w:rPr>
            </w:pPr>
            <w:r>
              <w:rPr>
                <w:rFonts w:hint="eastAsia"/>
                <w:vertAlign w:val="baseline"/>
                <w:lang w:eastAsia="zh-CN"/>
              </w:rPr>
              <w:t>序号</w:t>
            </w:r>
          </w:p>
        </w:tc>
        <w:tc>
          <w:tcPr>
            <w:tcW w:w="2100" w:type="dxa"/>
            <w:vAlign w:val="center"/>
          </w:tcPr>
          <w:p>
            <w:pPr>
              <w:jc w:val="center"/>
              <w:rPr>
                <w:rFonts w:hint="eastAsia" w:eastAsiaTheme="minorEastAsia"/>
                <w:vertAlign w:val="baseline"/>
                <w:lang w:eastAsia="zh-CN"/>
              </w:rPr>
            </w:pPr>
            <w:r>
              <w:rPr>
                <w:rFonts w:hint="eastAsia"/>
                <w:vertAlign w:val="baseline"/>
                <w:lang w:val="en-US" w:eastAsia="zh-CN"/>
              </w:rPr>
              <w:t>项目</w:t>
            </w:r>
            <w:r>
              <w:rPr>
                <w:rFonts w:hint="eastAsia"/>
                <w:vertAlign w:val="baseline"/>
                <w:lang w:eastAsia="zh-CN"/>
              </w:rPr>
              <w:t>名称</w:t>
            </w:r>
          </w:p>
        </w:tc>
        <w:tc>
          <w:tcPr>
            <w:tcW w:w="1050" w:type="dxa"/>
            <w:vAlign w:val="center"/>
          </w:tcPr>
          <w:p>
            <w:pPr>
              <w:jc w:val="center"/>
              <w:rPr>
                <w:rFonts w:hint="default" w:eastAsiaTheme="minorEastAsia"/>
                <w:vertAlign w:val="baseline"/>
                <w:lang w:val="en-US" w:eastAsia="zh-CN"/>
              </w:rPr>
            </w:pPr>
            <w:r>
              <w:rPr>
                <w:rFonts w:hint="eastAsia"/>
                <w:vertAlign w:val="baseline"/>
                <w:lang w:val="en-US" w:eastAsia="zh-CN"/>
              </w:rPr>
              <w:t>品牌或生产厂家</w:t>
            </w:r>
          </w:p>
        </w:tc>
        <w:tc>
          <w:tcPr>
            <w:tcW w:w="1350" w:type="dxa"/>
            <w:vAlign w:val="center"/>
          </w:tcPr>
          <w:p>
            <w:pPr>
              <w:jc w:val="center"/>
              <w:rPr>
                <w:rFonts w:hint="default" w:eastAsiaTheme="minorEastAsia"/>
                <w:vertAlign w:val="baseline"/>
                <w:lang w:val="en-US" w:eastAsia="zh-CN"/>
              </w:rPr>
            </w:pPr>
            <w:r>
              <w:rPr>
                <w:rFonts w:hint="eastAsia"/>
                <w:vertAlign w:val="baseline"/>
                <w:lang w:val="en-US" w:eastAsia="zh-CN"/>
              </w:rPr>
              <w:t>规格</w:t>
            </w:r>
          </w:p>
        </w:tc>
        <w:tc>
          <w:tcPr>
            <w:tcW w:w="1254" w:type="dxa"/>
            <w:vAlign w:val="center"/>
          </w:tcPr>
          <w:p>
            <w:pPr>
              <w:jc w:val="center"/>
              <w:rPr>
                <w:rFonts w:hint="default"/>
                <w:vertAlign w:val="baseline"/>
                <w:lang w:val="en-US" w:eastAsia="zh-CN"/>
              </w:rPr>
            </w:pPr>
            <w:r>
              <w:rPr>
                <w:rFonts w:hint="eastAsia"/>
                <w:vertAlign w:val="baseline"/>
                <w:lang w:val="en-US" w:eastAsia="zh-CN"/>
              </w:rPr>
              <w:t>数量</w:t>
            </w:r>
          </w:p>
        </w:tc>
        <w:tc>
          <w:tcPr>
            <w:tcW w:w="1254" w:type="dxa"/>
            <w:vAlign w:val="center"/>
          </w:tcPr>
          <w:p>
            <w:pPr>
              <w:jc w:val="center"/>
              <w:rPr>
                <w:rFonts w:hint="eastAsia" w:eastAsiaTheme="minorEastAsia"/>
                <w:vertAlign w:val="baseline"/>
                <w:lang w:eastAsia="zh-CN"/>
              </w:rPr>
            </w:pPr>
            <w:r>
              <w:rPr>
                <w:rFonts w:hint="eastAsia"/>
                <w:vertAlign w:val="baseline"/>
                <w:lang w:val="en-US" w:eastAsia="zh-CN"/>
              </w:rPr>
              <w:t>单价</w:t>
            </w:r>
          </w:p>
        </w:tc>
        <w:tc>
          <w:tcPr>
            <w:tcW w:w="1037" w:type="dxa"/>
            <w:vAlign w:val="center"/>
          </w:tcPr>
          <w:p>
            <w:pPr>
              <w:jc w:val="center"/>
              <w:rPr>
                <w:rFonts w:hint="default"/>
                <w:vertAlign w:val="baseline"/>
                <w:lang w:val="en-US" w:eastAsia="zh-CN"/>
              </w:rPr>
            </w:pPr>
            <w:r>
              <w:rPr>
                <w:rFonts w:hint="eastAsia"/>
                <w:vertAlign w:val="baseline"/>
                <w:lang w:val="en-US" w:eastAsia="zh-CN"/>
              </w:rPr>
              <w:t>总价</w:t>
            </w:r>
          </w:p>
        </w:tc>
        <w:tc>
          <w:tcPr>
            <w:tcW w:w="722" w:type="dxa"/>
            <w:vAlign w:val="center"/>
          </w:tcPr>
          <w:p>
            <w:pPr>
              <w:jc w:val="center"/>
              <w:rPr>
                <w:rFonts w:hint="default"/>
                <w:vertAlign w:val="baseline"/>
                <w:lang w:val="en-US"/>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526"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100" w:type="dxa"/>
            <w:vAlign w:val="center"/>
          </w:tcPr>
          <w:p>
            <w:pPr>
              <w:jc w:val="center"/>
              <w:rPr>
                <w:rFonts w:hint="eastAsia" w:eastAsiaTheme="minorEastAsia"/>
                <w:vertAlign w:val="baseline"/>
                <w:lang w:eastAsia="zh-CN"/>
              </w:rPr>
            </w:pPr>
            <w:r>
              <w:rPr>
                <w:rFonts w:hint="eastAsia"/>
                <w:vertAlign w:val="baseline"/>
                <w:lang w:val="en-US" w:eastAsia="zh-CN"/>
              </w:rPr>
              <w:t>钠离子交换树脂再生剂项目</w:t>
            </w:r>
          </w:p>
        </w:tc>
        <w:tc>
          <w:tcPr>
            <w:tcW w:w="1050" w:type="dxa"/>
            <w:vAlign w:val="center"/>
          </w:tcPr>
          <w:p>
            <w:pPr>
              <w:jc w:val="center"/>
              <w:rPr>
                <w:rFonts w:hint="eastAsia" w:eastAsiaTheme="minorEastAsia"/>
                <w:vertAlign w:val="baseline"/>
                <w:lang w:eastAsia="zh-CN"/>
              </w:rPr>
            </w:pPr>
          </w:p>
        </w:tc>
        <w:tc>
          <w:tcPr>
            <w:tcW w:w="1350" w:type="dxa"/>
            <w:vAlign w:val="center"/>
          </w:tcPr>
          <w:p>
            <w:pPr>
              <w:jc w:val="center"/>
              <w:rPr>
                <w:rFonts w:hint="eastAsia" w:eastAsiaTheme="minorEastAsia"/>
                <w:vertAlign w:val="baseline"/>
                <w:lang w:val="en-US" w:eastAsia="zh-CN"/>
              </w:rPr>
            </w:pPr>
          </w:p>
        </w:tc>
        <w:tc>
          <w:tcPr>
            <w:tcW w:w="1254" w:type="dxa"/>
            <w:vAlign w:val="center"/>
          </w:tcPr>
          <w:p>
            <w:pPr>
              <w:jc w:val="center"/>
              <w:rPr>
                <w:rFonts w:hint="eastAsia" w:eastAsiaTheme="minorEastAsia"/>
                <w:vertAlign w:val="baseline"/>
                <w:lang w:val="en-US" w:eastAsia="zh-CN"/>
              </w:rPr>
            </w:pPr>
          </w:p>
        </w:tc>
        <w:tc>
          <w:tcPr>
            <w:tcW w:w="1254" w:type="dxa"/>
            <w:vAlign w:val="center"/>
          </w:tcPr>
          <w:p>
            <w:pPr>
              <w:jc w:val="center"/>
              <w:rPr>
                <w:rFonts w:hint="eastAsia" w:eastAsiaTheme="minorEastAsia"/>
                <w:vertAlign w:val="baseline"/>
                <w:lang w:val="en-US" w:eastAsia="zh-CN"/>
              </w:rPr>
            </w:pPr>
          </w:p>
        </w:tc>
        <w:tc>
          <w:tcPr>
            <w:tcW w:w="1037" w:type="dxa"/>
            <w:vAlign w:val="center"/>
          </w:tcPr>
          <w:p>
            <w:pPr>
              <w:jc w:val="center"/>
              <w:rPr>
                <w:rFonts w:hint="default"/>
                <w:vertAlign w:val="baseline"/>
                <w:lang w:val="en-US" w:eastAsia="zh-CN"/>
              </w:rPr>
            </w:pPr>
          </w:p>
        </w:tc>
        <w:tc>
          <w:tcPr>
            <w:tcW w:w="722" w:type="dxa"/>
            <w:vAlign w:val="center"/>
          </w:tcPr>
          <w:p>
            <w:pPr>
              <w:jc w:val="center"/>
              <w:rPr>
                <w:rFonts w:hint="eastAsia" w:eastAsiaTheme="minorEastAsia"/>
                <w:vertAlign w:val="baseline"/>
                <w:lang w:val="en-US" w:eastAsia="zh-CN"/>
              </w:rPr>
            </w:pPr>
          </w:p>
        </w:tc>
      </w:tr>
    </w:tbl>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9"/>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b/>
                <w:bCs/>
                <w:sz w:val="32"/>
                <w:szCs w:val="32"/>
                <w:vertAlign w:val="baseline"/>
                <w:lang w:val="en-US" w:eastAsia="zh-CN"/>
              </w:rPr>
              <w:t>钠</w:t>
            </w:r>
            <w:bookmarkStart w:id="3" w:name="_GoBack"/>
            <w:bookmarkEnd w:id="3"/>
            <w:r>
              <w:rPr>
                <w:rFonts w:hint="eastAsia"/>
                <w:b/>
                <w:bCs/>
                <w:sz w:val="32"/>
                <w:szCs w:val="32"/>
                <w:vertAlign w:val="baseline"/>
                <w:lang w:val="en-US" w:eastAsia="zh-CN"/>
              </w:rPr>
              <w:t>离子交换树脂再生剂项目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default" w:ascii="Calibri" w:hAnsi="Calibri" w:eastAsia="宋体" w:cs="Times New Roman"/>
                <w:sz w:val="24"/>
                <w:szCs w:val="24"/>
                <w:lang w:val="en-US"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营业执照</w:t>
            </w:r>
            <w:r>
              <w:rPr>
                <w:rFonts w:hint="eastAsia" w:ascii="Calibri" w:hAnsi="Calibri" w:eastAsia="宋体" w:cs="Times New Roman"/>
                <w:sz w:val="24"/>
                <w:szCs w:val="24"/>
                <w:lang w:val="en-US" w:eastAsia="zh-CN"/>
              </w:rPr>
              <w:t>等</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宋体" w:hAnsi="宋体" w:eastAsia="宋体" w:cs="宋体"/>
                <w:sz w:val="24"/>
                <w:szCs w:val="24"/>
                <w:lang w:eastAsia="zh-CN"/>
              </w:rPr>
              <w:t>④</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8"/>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8"/>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8"/>
              <w:adjustRightInd w:val="0"/>
              <w:spacing w:line="360" w:lineRule="exact"/>
              <w:ind w:firstLine="560"/>
              <w:contextualSpacing/>
              <w:jc w:val="center"/>
              <w:rPr>
                <w:rFonts w:ascii="方正仿宋_GBK" w:eastAsia="方正仿宋_GBK"/>
                <w:sz w:val="28"/>
              </w:rPr>
            </w:pPr>
          </w:p>
        </w:tc>
        <w:tc>
          <w:tcPr>
            <w:tcW w:w="2074" w:type="dxa"/>
            <w:vAlign w:val="center"/>
          </w:tcPr>
          <w:p>
            <w:pPr>
              <w:pStyle w:val="18"/>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8"/>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8"/>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8"/>
              <w:adjustRightInd w:val="0"/>
              <w:spacing w:line="360" w:lineRule="exact"/>
              <w:ind w:firstLine="560"/>
              <w:contextualSpacing/>
              <w:jc w:val="center"/>
              <w:rPr>
                <w:rFonts w:ascii="方正仿宋_GBK" w:eastAsia="方正仿宋_GBK"/>
                <w:sz w:val="28"/>
              </w:rPr>
            </w:pPr>
          </w:p>
          <w:p>
            <w:pPr>
              <w:pStyle w:val="18"/>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8"/>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8"/>
              <w:adjustRightInd w:val="0"/>
              <w:spacing w:line="360" w:lineRule="exact"/>
              <w:ind w:firstLine="560"/>
              <w:contextualSpacing/>
              <w:jc w:val="center"/>
              <w:rPr>
                <w:rFonts w:ascii="方正仿宋_GBK" w:eastAsia="方正仿宋_GBK"/>
                <w:sz w:val="28"/>
              </w:rPr>
            </w:pPr>
          </w:p>
          <w:p>
            <w:pPr>
              <w:pStyle w:val="18"/>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8"/>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8"/>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8"/>
              <w:adjustRightInd w:val="0"/>
              <w:spacing w:line="360" w:lineRule="exact"/>
              <w:ind w:firstLine="560"/>
              <w:contextualSpacing/>
              <w:jc w:val="center"/>
              <w:rPr>
                <w:rFonts w:ascii="方正仿宋_GBK" w:eastAsia="方正仿宋_GBK"/>
                <w:sz w:val="28"/>
              </w:rPr>
            </w:pPr>
          </w:p>
          <w:p>
            <w:pPr>
              <w:pStyle w:val="18"/>
              <w:adjustRightInd w:val="0"/>
              <w:spacing w:line="360" w:lineRule="exact"/>
              <w:ind w:firstLine="560"/>
              <w:contextualSpacing/>
              <w:jc w:val="center"/>
              <w:rPr>
                <w:rFonts w:ascii="方正仿宋_GBK" w:eastAsia="方正仿宋_GBK"/>
                <w:sz w:val="28"/>
              </w:rPr>
            </w:pPr>
          </w:p>
          <w:p>
            <w:pPr>
              <w:pStyle w:val="18"/>
              <w:adjustRightInd w:val="0"/>
              <w:spacing w:line="360" w:lineRule="exact"/>
              <w:ind w:firstLine="560"/>
              <w:contextualSpacing/>
              <w:jc w:val="center"/>
              <w:rPr>
                <w:rFonts w:ascii="方正仿宋_GBK" w:eastAsia="方正仿宋_GBK"/>
                <w:sz w:val="28"/>
              </w:rPr>
            </w:pPr>
          </w:p>
          <w:p>
            <w:pPr>
              <w:pStyle w:val="18"/>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8"/>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8"/>
              <w:adjustRightInd w:val="0"/>
              <w:spacing w:line="360" w:lineRule="exact"/>
              <w:ind w:firstLine="560"/>
              <w:contextualSpacing/>
              <w:rPr>
                <w:rFonts w:ascii="方正仿宋_GBK" w:eastAsia="方正仿宋_GBK"/>
                <w:sz w:val="28"/>
              </w:rPr>
            </w:pPr>
          </w:p>
          <w:p>
            <w:pPr>
              <w:pStyle w:val="18"/>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8"/>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8"/>
        <w:adjustRightInd w:val="0"/>
        <w:spacing w:before="160" w:after="160"/>
        <w:ind w:firstLine="0" w:firstLineChars="0"/>
        <w:contextualSpacing/>
        <w:rPr>
          <w:rFonts w:ascii="宋体" w:hAnsi="宋体" w:eastAsia="宋体"/>
          <w:bCs/>
          <w:szCs w:val="21"/>
        </w:rPr>
      </w:pPr>
    </w:p>
    <w:p>
      <w:pPr>
        <w:pStyle w:val="18"/>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8"/>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8"/>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8"/>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8"/>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8"/>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8"/>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8"/>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8"/>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8"/>
        <w:adjustRightInd w:val="0"/>
        <w:spacing w:before="160" w:after="160"/>
        <w:ind w:firstLine="0" w:firstLineChars="0"/>
        <w:contextualSpacing/>
        <w:rPr>
          <w:rFonts w:ascii="宋体" w:hAnsi="宋体" w:eastAsia="宋体"/>
          <w:bCs/>
          <w:szCs w:val="21"/>
        </w:rPr>
      </w:pPr>
    </w:p>
    <w:p>
      <w:pPr>
        <w:pStyle w:val="18"/>
        <w:adjustRightInd w:val="0"/>
        <w:spacing w:before="160" w:after="160"/>
        <w:ind w:firstLine="0" w:firstLineChars="0"/>
        <w:contextualSpacing/>
        <w:rPr>
          <w:rFonts w:ascii="宋体" w:hAnsi="宋体" w:eastAsia="宋体"/>
          <w:bCs/>
          <w:szCs w:val="21"/>
        </w:rPr>
      </w:pPr>
    </w:p>
    <w:p>
      <w:pPr>
        <w:pStyle w:val="18"/>
        <w:adjustRightInd w:val="0"/>
        <w:spacing w:before="160" w:after="160"/>
        <w:ind w:firstLine="0" w:firstLineChars="0"/>
        <w:contextualSpacing/>
        <w:rPr>
          <w:rFonts w:ascii="宋体" w:hAnsi="宋体" w:eastAsia="宋体"/>
          <w:bCs/>
          <w:szCs w:val="21"/>
        </w:rPr>
      </w:pPr>
    </w:p>
    <w:p>
      <w:pPr>
        <w:pStyle w:val="18"/>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8"/>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pStyle w:val="18"/>
        <w:adjustRightInd w:val="0"/>
        <w:spacing w:before="160" w:after="160"/>
        <w:ind w:firstLine="0" w:firstLineChars="0"/>
        <w:contextualSpacing/>
        <w:jc w:val="left"/>
        <w:rPr>
          <w:rFonts w:hint="default" w:ascii="宋体" w:hAnsi="宋体" w:eastAsia="宋体"/>
          <w:b/>
          <w:bCs w:val="0"/>
          <w:sz w:val="28"/>
          <w:szCs w:val="28"/>
          <w:lang w:val="en-US" w:eastAsia="zh-CN"/>
        </w:rPr>
      </w:pPr>
      <w:r>
        <w:rPr>
          <w:rFonts w:hint="eastAsia" w:ascii="宋体" w:hAnsi="宋体" w:eastAsia="宋体"/>
          <w:b/>
          <w:bCs w:val="0"/>
          <w:sz w:val="28"/>
          <w:szCs w:val="28"/>
          <w:lang w:val="en-US" w:eastAsia="zh-CN"/>
        </w:rPr>
        <w:t>附件6：评分表</w:t>
      </w:r>
    </w:p>
    <w:p>
      <w:pPr>
        <w:widowControl/>
        <w:adjustRightInd w:val="0"/>
        <w:spacing w:before="160" w:after="160"/>
        <w:contextualSpacing/>
        <w:jc w:val="left"/>
        <w:rPr>
          <w:rFonts w:ascii="宋体" w:hAnsi="宋体" w:eastAsia="宋体"/>
          <w:bCs/>
          <w:szCs w:val="21"/>
        </w:rPr>
      </w:pPr>
    </w:p>
    <w:tbl>
      <w:tblPr>
        <w:tblStyle w:val="9"/>
        <w:tblW w:w="8437"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bookmarkStart w:id="2" w:name="OLE_LINK1" w:colFirst="3" w:colLast="6"/>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358"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50</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50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358" w:type="dxa"/>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优【30分-21分】：投标人所投报产品的技术参数完全响应投标文件中对产品的要求及描述；产品整体性能、技术水平处于国际、国家或行业领先水平；或者本次投标产品非常符合临床需求。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良【20分-11分】：投标人所投报产品较好的响应了招标文件中对产品的要求及描述；从产品整体性能、技术水平看，产品处于国际、国家或行业主流水平；或者本次投标产品比较符合临床需求。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一般【10分-1分】：投标人所投报产品的技术参数仅能基本满足招标文件对产品的要求及描述的最低要求，产品整体性能、技术水平一般或较落后。或者本次投标产品基本或者不符合临床需求。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15</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15</w:t>
            </w:r>
            <w:r>
              <w:rPr>
                <w:rFonts w:hint="eastAsia" w:ascii="宋体" w:hAnsi="宋体" w:cs="仿宋_GB2312"/>
                <w:szCs w:val="21"/>
              </w:rPr>
              <w:t>分-11分】：投标人有突出的相关售后服务优势，能够很好的满足用户实际使用要求。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良【10分-5分】：投标人提供的相关售后服务，能够完全满足用户实际使用要求。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一般【4分-1分】：投标人提供的相关售后服务，仅能基本满足用户实际使用要求。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4</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358"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注，采购文件中需提供完整的合同复印件或者完整的供货发票复印件，否则不得分。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079" w:type="dxa"/>
            <w:gridSpan w:val="3"/>
            <w:tcBorders>
              <w:top w:val="single" w:color="auto" w:sz="4" w:space="0"/>
            </w:tcBorders>
            <w:noWrap w:val="0"/>
            <w:vAlign w:val="center"/>
          </w:tcPr>
          <w:p>
            <w:pPr>
              <w:spacing w:line="280" w:lineRule="exact"/>
              <w:jc w:val="center"/>
              <w:rPr>
                <w:rFonts w:hint="eastAsia" w:ascii="宋体" w:hAnsi="宋体" w:eastAsia="宋体" w:cs="仿宋_GB2312"/>
                <w:szCs w:val="21"/>
                <w:lang w:eastAsia="zh-CN"/>
              </w:rPr>
            </w:pPr>
            <w:r>
              <w:rPr>
                <w:rFonts w:hint="eastAsia" w:ascii="宋体" w:hAnsi="宋体" w:cs="仿宋_GB2312"/>
                <w:szCs w:val="21"/>
                <w:lang w:eastAsia="zh-CN"/>
              </w:rPr>
              <w:t>得分：</w:t>
            </w:r>
          </w:p>
        </w:tc>
        <w:tc>
          <w:tcPr>
            <w:tcW w:w="6358" w:type="dxa"/>
            <w:noWrap w:val="0"/>
            <w:vAlign w:val="center"/>
          </w:tcPr>
          <w:p>
            <w:pPr>
              <w:spacing w:line="280" w:lineRule="exact"/>
              <w:rPr>
                <w:rFonts w:hint="eastAsia" w:ascii="宋体" w:hAnsi="宋体" w:cs="仿宋_GB2312"/>
                <w:szCs w:val="21"/>
              </w:rPr>
            </w:pPr>
          </w:p>
        </w:tc>
      </w:tr>
    </w:tbl>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BEEE98-AC31-4296-9996-6676205B1F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1460FA-0850-460E-B996-3FA6E2EAF104}"/>
  </w:font>
  <w:font w:name="方正仿宋_GBK">
    <w:panose1 w:val="03000509000000000000"/>
    <w:charset w:val="86"/>
    <w:family w:val="script"/>
    <w:pitch w:val="default"/>
    <w:sig w:usb0="00000001" w:usb1="080E0000" w:usb2="00000000" w:usb3="00000000" w:csb0="00040000" w:csb1="00000000"/>
    <w:embedRegular r:id="rId3" w:fontKey="{24F7961A-A5C0-46CD-88B5-B0A590110258}"/>
  </w:font>
  <w:font w:name="方正小标宋_GBK">
    <w:panose1 w:val="03000509000000000000"/>
    <w:charset w:val="86"/>
    <w:family w:val="script"/>
    <w:pitch w:val="default"/>
    <w:sig w:usb0="00000001" w:usb1="080E0000" w:usb2="00000000" w:usb3="00000000" w:csb0="00040000" w:csb1="00000000"/>
    <w:embedRegular r:id="rId4" w:fontKey="{58255D7D-1BE2-40B5-BE11-F4E9538F08E4}"/>
  </w:font>
  <w:font w:name="仿宋_GB2312">
    <w:panose1 w:val="02010609030101010101"/>
    <w:charset w:val="86"/>
    <w:family w:val="modern"/>
    <w:pitch w:val="default"/>
    <w:sig w:usb0="00000001" w:usb1="080E0000" w:usb2="00000000" w:usb3="00000000" w:csb0="00040000" w:csb1="00000000"/>
    <w:embedRegular r:id="rId5" w:fontKey="{C2A7112B-F5D7-45E8-8C3F-655C69D4CF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2C10405"/>
    <w:rsid w:val="033C5388"/>
    <w:rsid w:val="038068C0"/>
    <w:rsid w:val="05271CE3"/>
    <w:rsid w:val="06EC78A0"/>
    <w:rsid w:val="0B385885"/>
    <w:rsid w:val="0F97167D"/>
    <w:rsid w:val="0FC16EF7"/>
    <w:rsid w:val="137F534D"/>
    <w:rsid w:val="13E97A8B"/>
    <w:rsid w:val="13EE7E6C"/>
    <w:rsid w:val="16EF04BD"/>
    <w:rsid w:val="1AFE1664"/>
    <w:rsid w:val="1CC35F44"/>
    <w:rsid w:val="1CE4719A"/>
    <w:rsid w:val="206029C1"/>
    <w:rsid w:val="20B7141E"/>
    <w:rsid w:val="212D5E29"/>
    <w:rsid w:val="22220DE5"/>
    <w:rsid w:val="22C713AB"/>
    <w:rsid w:val="22F43A1F"/>
    <w:rsid w:val="24B730FC"/>
    <w:rsid w:val="2805210F"/>
    <w:rsid w:val="28576CEA"/>
    <w:rsid w:val="297325AA"/>
    <w:rsid w:val="2990140F"/>
    <w:rsid w:val="2D216A3C"/>
    <w:rsid w:val="2E8E6608"/>
    <w:rsid w:val="31B006DA"/>
    <w:rsid w:val="33E617BD"/>
    <w:rsid w:val="34FC59D1"/>
    <w:rsid w:val="356D072B"/>
    <w:rsid w:val="36125141"/>
    <w:rsid w:val="366D5496"/>
    <w:rsid w:val="3CF44D14"/>
    <w:rsid w:val="3E7C6B56"/>
    <w:rsid w:val="40966984"/>
    <w:rsid w:val="43063938"/>
    <w:rsid w:val="45E37C15"/>
    <w:rsid w:val="47CB3ECE"/>
    <w:rsid w:val="48161295"/>
    <w:rsid w:val="48876C28"/>
    <w:rsid w:val="49687BBC"/>
    <w:rsid w:val="4BAD7DD3"/>
    <w:rsid w:val="4D411BCB"/>
    <w:rsid w:val="4E960DD7"/>
    <w:rsid w:val="518065BB"/>
    <w:rsid w:val="532C00AA"/>
    <w:rsid w:val="534D6638"/>
    <w:rsid w:val="54ED5DAB"/>
    <w:rsid w:val="55FE7053"/>
    <w:rsid w:val="61DE16F5"/>
    <w:rsid w:val="62AB3F85"/>
    <w:rsid w:val="65D26704"/>
    <w:rsid w:val="698D1AEB"/>
    <w:rsid w:val="6BA84C7A"/>
    <w:rsid w:val="6FAF18A1"/>
    <w:rsid w:val="7048218F"/>
    <w:rsid w:val="70C15D8C"/>
    <w:rsid w:val="73C06E35"/>
    <w:rsid w:val="74F94E64"/>
    <w:rsid w:val="759624FB"/>
    <w:rsid w:val="75DE6045"/>
    <w:rsid w:val="77724C80"/>
    <w:rsid w:val="78612E89"/>
    <w:rsid w:val="78DB4966"/>
    <w:rsid w:val="7A083343"/>
    <w:rsid w:val="7A0A71CB"/>
    <w:rsid w:val="7B4C1F62"/>
    <w:rsid w:val="7B9D6F7B"/>
    <w:rsid w:val="7CA73254"/>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unhideWhenUsed/>
    <w:qFormat/>
    <w:uiPriority w:val="99"/>
    <w:rPr>
      <w:color w:val="954F72" w:themeColor="followedHyperlink"/>
      <w:u w:val="single"/>
      <w14:textFill>
        <w14:solidFill>
          <w14:schemeClr w14:val="folHlink"/>
        </w14:solidFill>
      </w14:textFill>
    </w:rPr>
  </w:style>
  <w:style w:type="character" w:styleId="14">
    <w:name w:val="Emphasis"/>
    <w:basedOn w:val="11"/>
    <w:qFormat/>
    <w:uiPriority w:val="20"/>
    <w:rPr>
      <w:i/>
    </w:rPr>
  </w:style>
  <w:style w:type="character" w:styleId="15">
    <w:name w:val="Hyperlink"/>
    <w:basedOn w:val="11"/>
    <w:unhideWhenUsed/>
    <w:qFormat/>
    <w:uiPriority w:val="99"/>
    <w:rPr>
      <w:color w:val="0563C1" w:themeColor="hyperlink"/>
      <w:u w:val="single"/>
      <w14:textFill>
        <w14:solidFill>
          <w14:schemeClr w14:val="hlink"/>
        </w14:solidFill>
      </w14:textFill>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未处理的提及1"/>
    <w:basedOn w:val="11"/>
    <w:unhideWhenUsed/>
    <w:qFormat/>
    <w:uiPriority w:val="99"/>
    <w:rPr>
      <w:color w:val="808080"/>
      <w:shd w:val="clear" w:color="auto" w:fill="E6E6E6"/>
    </w:rPr>
  </w:style>
  <w:style w:type="character" w:customStyle="1" w:styleId="20">
    <w:name w:val="apple-converted-space"/>
    <w:basedOn w:val="11"/>
    <w:qFormat/>
    <w:uiPriority w:val="0"/>
  </w:style>
  <w:style w:type="character" w:customStyle="1" w:styleId="21">
    <w:name w:val="未处理的提及2"/>
    <w:basedOn w:val="11"/>
    <w:semiHidden/>
    <w:unhideWhenUsed/>
    <w:qFormat/>
    <w:uiPriority w:val="99"/>
    <w:rPr>
      <w:color w:val="808080"/>
      <w:shd w:val="clear" w:color="auto" w:fill="E6E6E6"/>
    </w:rPr>
  </w:style>
  <w:style w:type="character" w:customStyle="1" w:styleId="22">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3</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2025-07-22T00:44:51Z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