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10台1.5P空调项目（202507-4）材料目录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6"/>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lang w:eastAsia="zh-CN"/>
        </w:rPr>
        <w:t>。</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评分表（见附件6）。</w:t>
      </w:r>
    </w:p>
    <w:p>
      <w:pPr>
        <w:pStyle w:val="2"/>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w:t>
      </w:r>
    </w:p>
    <w:tbl>
      <w:tblPr>
        <w:tblStyle w:val="8"/>
        <w:tblpPr w:leftFromText="180" w:rightFromText="180" w:vertAnchor="text" w:horzAnchor="page" w:tblpX="1509" w:tblpY="652"/>
        <w:tblOverlap w:val="never"/>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95"/>
        <w:gridCol w:w="1078"/>
        <w:gridCol w:w="1487"/>
        <w:gridCol w:w="1740"/>
        <w:gridCol w:w="1650"/>
        <w:gridCol w:w="124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86"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机型</w:t>
            </w:r>
          </w:p>
        </w:tc>
        <w:tc>
          <w:tcPr>
            <w:tcW w:w="895"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匹数</w:t>
            </w:r>
          </w:p>
        </w:tc>
        <w:tc>
          <w:tcPr>
            <w:tcW w:w="1078"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压缩机</w:t>
            </w:r>
          </w:p>
        </w:tc>
        <w:tc>
          <w:tcPr>
            <w:tcW w:w="1487"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能效等级</w:t>
            </w:r>
          </w:p>
        </w:tc>
        <w:tc>
          <w:tcPr>
            <w:tcW w:w="1740"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额定制冷量</w:t>
            </w:r>
          </w:p>
        </w:tc>
        <w:tc>
          <w:tcPr>
            <w:tcW w:w="1650"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额定制热量</w:t>
            </w:r>
          </w:p>
        </w:tc>
        <w:tc>
          <w:tcPr>
            <w:tcW w:w="1242"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上限</w:t>
            </w:r>
          </w:p>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单价</w:t>
            </w:r>
          </w:p>
        </w:tc>
        <w:tc>
          <w:tcPr>
            <w:tcW w:w="843" w:type="dxa"/>
            <w:noWrap w:val="0"/>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86" w:type="dxa"/>
            <w:noWrap w:val="0"/>
            <w:vAlign w:val="center"/>
          </w:tcPr>
          <w:p>
            <w:pPr>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挂机</w:t>
            </w:r>
          </w:p>
        </w:tc>
        <w:tc>
          <w:tcPr>
            <w:tcW w:w="895" w:type="dxa"/>
            <w:noWrap w:val="0"/>
            <w:vAlign w:val="center"/>
          </w:tcPr>
          <w:p>
            <w:pPr>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1.5p</w:t>
            </w:r>
          </w:p>
        </w:tc>
        <w:tc>
          <w:tcPr>
            <w:tcW w:w="1078" w:type="dxa"/>
            <w:noWrap w:val="0"/>
            <w:vAlign w:val="center"/>
          </w:tcPr>
          <w:p>
            <w:pPr>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变频</w:t>
            </w:r>
          </w:p>
        </w:tc>
        <w:tc>
          <w:tcPr>
            <w:tcW w:w="1487" w:type="dxa"/>
            <w:noWrap w:val="0"/>
            <w:vAlign w:val="center"/>
          </w:tcPr>
          <w:p>
            <w:pPr>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一级能效</w:t>
            </w:r>
          </w:p>
        </w:tc>
        <w:tc>
          <w:tcPr>
            <w:tcW w:w="1740" w:type="dxa"/>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rPr>
              <w:t>≥3400W</w:t>
            </w:r>
          </w:p>
        </w:tc>
        <w:tc>
          <w:tcPr>
            <w:tcW w:w="1650" w:type="dxa"/>
            <w:noWrap w:val="0"/>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rPr>
              <w:t>≥5000W</w:t>
            </w:r>
          </w:p>
        </w:tc>
        <w:tc>
          <w:tcPr>
            <w:tcW w:w="1242" w:type="dxa"/>
            <w:noWrap w:val="0"/>
            <w:vAlign w:val="center"/>
          </w:tcPr>
          <w:p>
            <w:pPr>
              <w:jc w:val="center"/>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none"/>
                <w:lang w:val="en-US" w:eastAsia="zh-CN"/>
              </w:rPr>
              <w:t>3000</w:t>
            </w:r>
            <w:r>
              <w:rPr>
                <w:rFonts w:hint="eastAsia" w:ascii="宋体" w:hAnsi="宋体" w:eastAsia="宋体" w:cs="宋体"/>
                <w:sz w:val="28"/>
                <w:szCs w:val="28"/>
                <w:highlight w:val="none"/>
              </w:rPr>
              <w:t>元</w:t>
            </w:r>
          </w:p>
        </w:tc>
        <w:tc>
          <w:tcPr>
            <w:tcW w:w="843" w:type="dxa"/>
            <w:noWrap w:val="0"/>
            <w:vAlign w:val="center"/>
          </w:tcPr>
          <w:p>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10台</w:t>
            </w:r>
          </w:p>
        </w:tc>
      </w:tr>
    </w:tbl>
    <w:p>
      <w:pPr>
        <w:pStyle w:val="2"/>
        <w:rPr>
          <w:rFonts w:hint="eastAsia"/>
          <w:lang w:val="en-US" w:eastAsia="zh-CN"/>
        </w:rPr>
      </w:pPr>
    </w:p>
    <w:p>
      <w:pPr>
        <w:pStyle w:val="7"/>
        <w:keepNext w:val="0"/>
        <w:keepLines w:val="0"/>
        <w:widowControl/>
        <w:suppressLineNumbers w:val="0"/>
        <w:rPr>
          <w:sz w:val="28"/>
          <w:szCs w:val="28"/>
        </w:rPr>
      </w:pPr>
      <w:r>
        <w:rPr>
          <w:rFonts w:hint="default" w:ascii="Calibri" w:hAnsi="Calibri" w:cs="Calibri"/>
          <w:sz w:val="28"/>
          <w:szCs w:val="28"/>
        </w:rPr>
        <w:t>①</w:t>
      </w:r>
      <w:r>
        <w:rPr>
          <w:sz w:val="28"/>
          <w:szCs w:val="28"/>
        </w:rPr>
        <w:t>供应商应针对机型、匹数、压缩机、能效等级、额定制冷量、额定制热量六项参数提供第三方检测机构出具的有效的检验报告或生产厂家说明书或彩页宣传资料或白皮书原件或复印件，对参数和性能指标予以佐证，不允许负偏离。若无法提供或提供的资料无法完全佐证本条参数和性能指标的，认定为无效</w:t>
      </w:r>
      <w:r>
        <w:rPr>
          <w:rFonts w:hint="eastAsia"/>
          <w:sz w:val="28"/>
          <w:szCs w:val="28"/>
          <w:lang w:val="en-US" w:eastAsia="zh-CN"/>
        </w:rPr>
        <w:t>报价</w:t>
      </w:r>
      <w:r>
        <w:rPr>
          <w:sz w:val="28"/>
          <w:szCs w:val="28"/>
        </w:rPr>
        <w:t>，供应商应对出具的证明材料负法律责任。</w:t>
      </w:r>
    </w:p>
    <w:p>
      <w:pPr>
        <w:pStyle w:val="7"/>
        <w:keepNext w:val="0"/>
        <w:keepLines w:val="0"/>
        <w:widowControl/>
        <w:suppressLineNumbers w:val="0"/>
        <w:rPr>
          <w:rFonts w:hint="eastAsia" w:ascii="宋体" w:hAnsi="宋体" w:eastAsia="宋体" w:cs="宋体"/>
          <w:i w:val="0"/>
          <w:iCs w:val="0"/>
          <w:caps w:val="0"/>
          <w:color w:val="auto"/>
          <w:spacing w:val="0"/>
          <w:sz w:val="28"/>
          <w:szCs w:val="28"/>
          <w:shd w:val="clear" w:fill="FFFFFF"/>
          <w:lang w:eastAsia="zh-CN"/>
        </w:rPr>
      </w:pPr>
      <w:r>
        <w:rPr>
          <w:rFonts w:hint="default" w:ascii="Calibri" w:hAnsi="Calibri" w:cs="Calibri"/>
          <w:sz w:val="28"/>
          <w:szCs w:val="28"/>
        </w:rPr>
        <w:t>②</w:t>
      </w:r>
      <w:r>
        <w:rPr>
          <w:sz w:val="28"/>
          <w:szCs w:val="28"/>
        </w:rPr>
        <w:t>供应商所投产品需全部具备中国节能产品认证（CQC）及中国环境标志产品认证（CEC）证书，部分具备视为</w:t>
      </w:r>
      <w:r>
        <w:rPr>
          <w:rFonts w:hint="eastAsia"/>
          <w:sz w:val="28"/>
          <w:szCs w:val="28"/>
          <w:lang w:val="en-US" w:eastAsia="zh-CN"/>
        </w:rPr>
        <w:t>报价</w:t>
      </w:r>
      <w:r>
        <w:rPr>
          <w:sz w:val="28"/>
          <w:szCs w:val="28"/>
        </w:rPr>
        <w:t>无效</w:t>
      </w:r>
      <w:r>
        <w:rPr>
          <w:rFonts w:hint="eastAsia" w:ascii="宋体" w:hAnsi="宋体" w:eastAsia="宋体" w:cs="宋体"/>
          <w:i w:val="0"/>
          <w:iCs w:val="0"/>
          <w:caps w:val="0"/>
          <w:color w:val="auto"/>
          <w:spacing w:val="0"/>
          <w:sz w:val="28"/>
          <w:szCs w:val="28"/>
          <w:shd w:val="clear" w:fill="FFFFFF"/>
          <w:lang w:eastAsia="zh-CN"/>
        </w:rPr>
        <w:t>。</w:t>
      </w:r>
    </w:p>
    <w:p>
      <w:pPr>
        <w:pStyle w:val="7"/>
        <w:keepNext w:val="0"/>
        <w:keepLines w:val="0"/>
        <w:widowControl/>
        <w:suppressLineNumbers w:val="0"/>
        <w:rPr>
          <w:rFonts w:hint="eastAsia" w:ascii="宋体" w:hAnsi="宋体" w:eastAsia="宋体" w:cs="宋体"/>
          <w:color w:val="auto"/>
          <w:sz w:val="28"/>
          <w:szCs w:val="28"/>
          <w:lang w:val="en-US" w:eastAsia="zh-CN"/>
        </w:rPr>
      </w:pPr>
      <w:r>
        <w:rPr>
          <w:rFonts w:hint="default" w:ascii="Calibri" w:hAnsi="Calibri" w:eastAsia="宋体" w:cs="Calibri"/>
          <w:color w:val="auto"/>
          <w:sz w:val="28"/>
          <w:szCs w:val="28"/>
          <w:lang w:val="en-US" w:eastAsia="zh-CN"/>
        </w:rPr>
        <w:t>③</w:t>
      </w:r>
      <w:r>
        <w:rPr>
          <w:rFonts w:hint="eastAsia" w:ascii="宋体" w:hAnsi="宋体" w:eastAsia="宋体" w:cs="宋体"/>
          <w:color w:val="auto"/>
          <w:sz w:val="28"/>
          <w:szCs w:val="28"/>
          <w:lang w:val="en-US" w:eastAsia="zh-CN"/>
        </w:rPr>
        <w:t xml:space="preserve">费用包含产品费用、安装调试费、铜管加长费用、打孔费及不锈钢支架费等所有费用 </w:t>
      </w:r>
    </w:p>
    <w:p>
      <w:pPr>
        <w:pStyle w:val="7"/>
        <w:keepNext w:val="0"/>
        <w:keepLines w:val="0"/>
        <w:widowControl/>
        <w:suppressLineNumbers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④保修期：6年，</w:t>
      </w:r>
      <w:r>
        <w:rPr>
          <w:rFonts w:hint="eastAsia" w:ascii="宋体" w:hAnsi="宋体" w:eastAsia="宋体" w:cs="宋体"/>
          <w:i w:val="0"/>
          <w:iCs w:val="0"/>
          <w:caps w:val="0"/>
          <w:color w:val="auto"/>
          <w:spacing w:val="0"/>
          <w:sz w:val="28"/>
          <w:szCs w:val="28"/>
          <w:shd w:val="clear" w:fill="FFFFFF"/>
        </w:rPr>
        <w:t>故障报修后2小时内到场维修</w:t>
      </w:r>
      <w:r>
        <w:rPr>
          <w:rFonts w:hint="eastAsia" w:ascii="宋体" w:hAnsi="宋体" w:eastAsia="宋体" w:cs="宋体"/>
          <w:i w:val="0"/>
          <w:iCs w:val="0"/>
          <w:caps w:val="0"/>
          <w:color w:val="auto"/>
          <w:spacing w:val="0"/>
          <w:sz w:val="28"/>
          <w:szCs w:val="28"/>
          <w:shd w:val="clear" w:fill="FFFFFF"/>
          <w:lang w:eastAsia="zh-CN"/>
        </w:rPr>
        <w:t>。</w:t>
      </w:r>
    </w:p>
    <w:p>
      <w:pPr>
        <w:pStyle w:val="2"/>
        <w:rPr>
          <w:rFonts w:hint="eastAsia"/>
          <w:sz w:val="28"/>
          <w:szCs w:val="28"/>
          <w:lang w:eastAsia="zh-CN"/>
        </w:rPr>
      </w:pPr>
      <w:r>
        <w:rPr>
          <w:rFonts w:hint="eastAsia" w:ascii="宋体" w:hAnsi="宋体" w:eastAsia="宋体" w:cs="宋体"/>
          <w:i w:val="0"/>
          <w:iCs w:val="0"/>
          <w:caps w:val="0"/>
          <w:color w:val="auto"/>
          <w:spacing w:val="0"/>
          <w:sz w:val="28"/>
          <w:szCs w:val="28"/>
          <w:shd w:val="clear" w:fill="FFFFFF"/>
          <w:lang w:val="en-US" w:eastAsia="zh-CN"/>
        </w:rPr>
        <w:t>⑤参考品牌：</w:t>
      </w:r>
      <w:r>
        <w:rPr>
          <w:rFonts w:hint="eastAsia" w:ascii="宋体" w:hAnsi="宋体" w:eastAsia="宋体" w:cs="宋体"/>
          <w:i w:val="0"/>
          <w:iCs w:val="0"/>
          <w:caps w:val="0"/>
          <w:color w:val="auto"/>
          <w:spacing w:val="0"/>
          <w:sz w:val="28"/>
          <w:szCs w:val="28"/>
          <w:shd w:val="clear" w:fill="FFFFFF"/>
        </w:rPr>
        <w:t>格力、美的、海尔</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海信</w:t>
      </w:r>
      <w:bookmarkStart w:id="3" w:name="_GoBack"/>
      <w:bookmarkEnd w:id="3"/>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报价时需明确型号、参数及实物图片，确保供货一致性</w:t>
      </w:r>
      <w:r>
        <w:rPr>
          <w:rFonts w:hint="eastAsia" w:ascii="宋体" w:hAnsi="宋体" w:eastAsia="宋体" w:cs="宋体"/>
          <w:i w:val="0"/>
          <w:iCs w:val="0"/>
          <w:caps w:val="0"/>
          <w:color w:val="auto"/>
          <w:spacing w:val="0"/>
          <w:sz w:val="28"/>
          <w:szCs w:val="28"/>
          <w:shd w:val="clear" w:fill="FFFFFF"/>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rPr>
          <w:rFonts w:hint="default"/>
          <w:sz w:val="28"/>
          <w:szCs w:val="28"/>
          <w:lang w:val="en-US" w:eastAsia="zh-CN"/>
        </w:rPr>
      </w:pPr>
      <w:r>
        <w:rPr>
          <w:rFonts w:hint="eastAsia"/>
          <w:sz w:val="28"/>
          <w:szCs w:val="28"/>
          <w:lang w:val="en-US" w:eastAsia="zh-CN"/>
        </w:rPr>
        <w:t xml:space="preserve">   </w:t>
      </w:r>
      <w:r>
        <w:rPr>
          <w:rFonts w:hint="eastAsia" w:ascii="宋体" w:hAnsi="宋体" w:eastAsia="宋体" w:cs="宋体"/>
          <w:i w:val="0"/>
          <w:color w:val="auto"/>
          <w:kern w:val="0"/>
          <w:sz w:val="28"/>
          <w:szCs w:val="28"/>
          <w:u w:val="none"/>
          <w:lang w:val="en-US" w:eastAsia="zh-CN" w:bidi="ar"/>
        </w:rPr>
        <w:t>备注：本项目说明中所提出的参数和标准仅系说明并非进行限制，供应商可提出替代的参数和标准，并在技术文件中详细说明，但该替代应不低于本文件的规定和要求（本报价包含产品安装费、材料费、人工费、运输费、税费等所有费用）。</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宋体" w:hAnsi="宋体" w:eastAsia="宋体"/>
          <w:b/>
          <w:sz w:val="36"/>
          <w:szCs w:val="21"/>
          <w:lang w:val="en-US" w:eastAsia="zh-CN"/>
        </w:rPr>
        <w:t>10台1.5P空调项目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编号（202507-4）</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77"/>
        <w:gridCol w:w="510"/>
        <w:gridCol w:w="1295"/>
        <w:gridCol w:w="1295"/>
        <w:gridCol w:w="928"/>
        <w:gridCol w:w="1037"/>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187" w:type="dxa"/>
            <w:gridSpan w:val="2"/>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pPr>
              <w:rPr>
                <w:rFonts w:hint="default"/>
                <w:lang w:val="en-US" w:eastAsia="zh-CN"/>
              </w:rPr>
            </w:pPr>
            <w:r>
              <w:rPr>
                <w:rFonts w:hint="eastAsia"/>
                <w:lang w:val="en-US" w:eastAsia="zh-CN"/>
              </w:rPr>
              <w:t>品牌或生产厂家</w:t>
            </w:r>
          </w:p>
        </w:tc>
        <w:tc>
          <w:tcPr>
            <w:tcW w:w="1295" w:type="dxa"/>
          </w:tcPr>
          <w:p>
            <w:pPr>
              <w:rPr>
                <w:rFonts w:hint="default" w:eastAsiaTheme="minorEastAsia"/>
                <w:lang w:val="en-US" w:eastAsia="zh-CN"/>
              </w:rPr>
            </w:pPr>
            <w:r>
              <w:rPr>
                <w:rFonts w:hint="eastAsia"/>
                <w:lang w:val="en-US" w:eastAsia="zh-CN"/>
              </w:rPr>
              <w:t>规格</w:t>
            </w:r>
          </w:p>
        </w:tc>
        <w:tc>
          <w:tcPr>
            <w:tcW w:w="928"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单价</w:t>
            </w:r>
          </w:p>
        </w:tc>
        <w:tc>
          <w:tcPr>
            <w:tcW w:w="1020" w:type="dxa"/>
            <w:vAlign w:val="center"/>
          </w:tcPr>
          <w:p>
            <w:pPr>
              <w:rPr>
                <w:rFonts w:hint="default"/>
                <w:lang w:val="en-US" w:eastAsia="zh-CN"/>
              </w:rPr>
            </w:pPr>
            <w:r>
              <w:rPr>
                <w:rFonts w:hint="eastAsia"/>
                <w:lang w:val="en-US" w:eastAsia="zh-CN"/>
              </w:rPr>
              <w:t>总价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hint="eastAsia"/>
              </w:rPr>
            </w:pPr>
          </w:p>
          <w:p>
            <w:pPr>
              <w:pStyle w:val="2"/>
              <w:rPr>
                <w:rFonts w:hint="eastAsia"/>
              </w:rPr>
            </w:pPr>
          </w:p>
        </w:tc>
        <w:tc>
          <w:tcPr>
            <w:tcW w:w="1187" w:type="dxa"/>
            <w:gridSpan w:val="2"/>
          </w:tcPr>
          <w:p/>
        </w:tc>
        <w:tc>
          <w:tcPr>
            <w:tcW w:w="1295" w:type="dxa"/>
          </w:tcPr>
          <w:p>
            <w:pPr>
              <w:rPr>
                <w:rFonts w:hint="eastAsia"/>
                <w:lang w:val="en-US" w:eastAsia="zh-CN"/>
              </w:rPr>
            </w:pPr>
          </w:p>
        </w:tc>
        <w:tc>
          <w:tcPr>
            <w:tcW w:w="1295" w:type="dxa"/>
          </w:tcPr>
          <w:p>
            <w:pPr>
              <w:rPr>
                <w:rFonts w:hint="eastAsia"/>
                <w:lang w:val="en-US" w:eastAsia="zh-CN"/>
              </w:rPr>
            </w:pPr>
          </w:p>
        </w:tc>
        <w:tc>
          <w:tcPr>
            <w:tcW w:w="928" w:type="dxa"/>
          </w:tcPr>
          <w:p>
            <w:pPr>
              <w:rPr>
                <w:rFonts w:hint="eastAsia"/>
                <w:lang w:val="en-US" w:eastAsia="zh-CN"/>
              </w:rPr>
            </w:pPr>
          </w:p>
        </w:tc>
        <w:tc>
          <w:tcPr>
            <w:tcW w:w="1037" w:type="dxa"/>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c>
          <w:tcPr>
            <w:tcW w:w="1020"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95" w:type="dxa"/>
            <w:gridSpan w:val="2"/>
          </w:tcPr>
          <w:p>
            <w:pPr>
              <w:rPr>
                <w:rFonts w:hint="eastAsia"/>
                <w:lang w:val="en-US" w:eastAsia="zh-CN"/>
              </w:rPr>
            </w:pPr>
          </w:p>
        </w:tc>
        <w:tc>
          <w:tcPr>
            <w:tcW w:w="5065" w:type="dxa"/>
            <w:gridSpan w:val="5"/>
          </w:tcPr>
          <w:p>
            <w:r>
              <w:rPr>
                <w:rFonts w:hint="eastAsia"/>
                <w:lang w:val="en-US" w:eastAsia="zh-CN"/>
              </w:rPr>
              <w:t>合计：</w:t>
            </w:r>
          </w:p>
        </w:tc>
        <w:tc>
          <w:tcPr>
            <w:tcW w:w="1020" w:type="dxa"/>
          </w:tcPr>
          <w:p/>
        </w:tc>
        <w:tc>
          <w:tcPr>
            <w:tcW w:w="1020" w:type="dxa"/>
          </w:tcPr>
          <w:p/>
        </w:tc>
        <w:tc>
          <w:tcPr>
            <w:tcW w:w="1020" w:type="dxa"/>
          </w:tcPr>
          <w:p/>
        </w:tc>
      </w:tr>
    </w:tbl>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Theme="majorEastAsia" w:hAnsiTheme="majorEastAsia" w:eastAsiaTheme="majorEastAsia" w:cstheme="majorEastAsia"/>
                <w:b w:val="0"/>
                <w:bCs w:val="0"/>
                <w:sz w:val="28"/>
                <w:szCs w:val="28"/>
                <w:lang w:val="en-US" w:eastAsia="zh-CN"/>
              </w:rPr>
              <w:t>10台1.5P空调项目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6"/>
        <w:adjustRightInd w:val="0"/>
        <w:spacing w:before="160" w:after="160"/>
        <w:ind w:firstLine="0" w:firstLineChars="0"/>
        <w:contextualSpacing/>
        <w:jc w:val="left"/>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8"/>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560717-345C-4467-85F7-820ACFE0A2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4F9B87-C968-4AF2-9ADE-D61841D3BAA5}"/>
  </w:font>
  <w:font w:name="方正仿宋_GBK">
    <w:altName w:val="微软雅黑"/>
    <w:panose1 w:val="03000509000000000000"/>
    <w:charset w:val="86"/>
    <w:family w:val="script"/>
    <w:pitch w:val="default"/>
    <w:sig w:usb0="00000000" w:usb1="00000000" w:usb2="00000000" w:usb3="00000000" w:csb0="00040000" w:csb1="00000000"/>
    <w:embedRegular r:id="rId3" w:fontKey="{3325D87A-A294-4607-B3FF-1DE6AA600BE4}"/>
  </w:font>
  <w:font w:name="方正小标宋_GBK">
    <w:altName w:val="微软雅黑"/>
    <w:panose1 w:val="03000509000000000000"/>
    <w:charset w:val="86"/>
    <w:family w:val="script"/>
    <w:pitch w:val="default"/>
    <w:sig w:usb0="00000000" w:usb1="00000000" w:usb2="00000000" w:usb3="00000000" w:csb0="00040000" w:csb1="00000000"/>
    <w:embedRegular r:id="rId4" w:fontKey="{54C768B2-90D4-40F5-949E-1126671A92B1}"/>
  </w:font>
  <w:font w:name="仿宋_GB2312">
    <w:panose1 w:val="02010609030101010101"/>
    <w:charset w:val="86"/>
    <w:family w:val="modern"/>
    <w:pitch w:val="default"/>
    <w:sig w:usb0="00000001" w:usb1="080E0000" w:usb2="00000000" w:usb3="00000000" w:csb0="00040000" w:csb1="00000000"/>
    <w:embedRegular r:id="rId5" w:fontKey="{EF8D8F80-DAEE-4FEB-83EE-22B9C6330D8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F97167D"/>
    <w:rsid w:val="137F534D"/>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D216A3C"/>
    <w:rsid w:val="2E8E6608"/>
    <w:rsid w:val="31B006DA"/>
    <w:rsid w:val="33E617BD"/>
    <w:rsid w:val="34FC59D1"/>
    <w:rsid w:val="36125141"/>
    <w:rsid w:val="366D5496"/>
    <w:rsid w:val="3CF44D14"/>
    <w:rsid w:val="3E7C6B56"/>
    <w:rsid w:val="40966984"/>
    <w:rsid w:val="43063938"/>
    <w:rsid w:val="45E37C15"/>
    <w:rsid w:val="47CB3ECE"/>
    <w:rsid w:val="48161295"/>
    <w:rsid w:val="49687BBC"/>
    <w:rsid w:val="4BAD7DD3"/>
    <w:rsid w:val="4D411BCB"/>
    <w:rsid w:val="518065BB"/>
    <w:rsid w:val="532C00AA"/>
    <w:rsid w:val="534D6638"/>
    <w:rsid w:val="54ED5DAB"/>
    <w:rsid w:val="5573450E"/>
    <w:rsid w:val="55D954BE"/>
    <w:rsid w:val="55FE7053"/>
    <w:rsid w:val="5B9571D0"/>
    <w:rsid w:val="61DE16F5"/>
    <w:rsid w:val="65D26704"/>
    <w:rsid w:val="698D1AEB"/>
    <w:rsid w:val="6BA84C7A"/>
    <w:rsid w:val="7048218F"/>
    <w:rsid w:val="70C15D8C"/>
    <w:rsid w:val="73C06E35"/>
    <w:rsid w:val="74F94E64"/>
    <w:rsid w:val="759624FB"/>
    <w:rsid w:val="75DE6045"/>
    <w:rsid w:val="77724C80"/>
    <w:rsid w:val="78612E89"/>
    <w:rsid w:val="78DB4966"/>
    <w:rsid w:val="7A083343"/>
    <w:rsid w:val="7A0A71CB"/>
    <w:rsid w:val="7B4C1F62"/>
    <w:rsid w:val="7B9D6F7B"/>
    <w:rsid w:val="7CA73254"/>
    <w:rsid w:val="7E557B7C"/>
    <w:rsid w:val="7FEF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21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2025-07-21T08:49:47Z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