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w:t>
      </w:r>
      <w:r>
        <w:rPr>
          <w:rFonts w:hint="eastAsia" w:asciiTheme="majorEastAsia" w:hAnsiTheme="majorEastAsia" w:eastAsiaTheme="majorEastAsia" w:cstheme="majorEastAsia"/>
          <w:b/>
          <w:bCs/>
          <w:sz w:val="44"/>
          <w:szCs w:val="44"/>
          <w:lang w:val="en-US" w:eastAsia="zh-CN"/>
        </w:rPr>
        <w:t>（202511-8）智慧胸痛中心云平台</w:t>
      </w:r>
      <w:r>
        <w:rPr>
          <w:rFonts w:hint="eastAsia"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w:t>
      </w:r>
      <w:r>
        <w:rPr>
          <w:rFonts w:hint="eastAsia"/>
          <w:sz w:val="24"/>
          <w:szCs w:val="24"/>
          <w:lang w:val="en-US" w:eastAsia="zh-CN"/>
        </w:rPr>
        <w:t>功能介绍</w:t>
      </w:r>
      <w:r>
        <w:rPr>
          <w:rFonts w:hint="eastAsia"/>
          <w:sz w:val="24"/>
          <w:szCs w:val="24"/>
        </w:rPr>
        <w:t>、产品说明书</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供应商资质、法人给业务员的授权书（需盖单位公章、法人及被授权人签字），附法人和被授权人的身份证复印件，以及被授权人在本公司所缴纳社保证明。。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12、完成功能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1）、胸痛数据直报：支持移动设备分场景使用AI语音录入及拍照识别功能完成数据采集与结构化处理；支持通过读取身份证/医保卡快速获取患者身份信息，实现患者快速建档；支持心电图拍照上传完成AI诊断；支持触发快速记录救治过程重要时间节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（2）、救治单元管理：实现救治单元数据上报，上级医院审核查看，患者数据互通互享。</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随访管理：实现患者随访信息填报、随访计划生成、随访提醒、随访数据管理。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（3）、数据分析：支持根据中国胸痛中心认证标准及质控标准要求，实现对单病例进行AI助手辅助实时质控，同时对认证及质控指标进行智能分析。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（4）、三会模板：支持利用大数据智能生成质量分析会模板、典型病例筛选分析、联合例会要求提示等。</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（5）、胸痛中心建设帮扶：AI助手支持认证模拟打分，辅助医院完成认证自评；内置最新规范化胸痛中心建设标、认证标准、指控标准以及临床医学知识库。</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（6）、胸痛学院：提供胸痛学术、最新指南、学科建设及精彩会议等学习资源。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 xml:space="preserve">（7）、时间采集：支持多种方式自动记录患者进出关键场所时间。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（8）、科研文献AI检索增强生成：内置核心国际期刊论文数篇，支持快速生成论文大纲与结论供参考学习。</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kern w:val="2"/>
          <w:sz w:val="24"/>
          <w:szCs w:val="24"/>
          <w:lang w:val="en-US" w:eastAsia="zh-CN" w:bidi="ar-SA"/>
        </w:rPr>
        <w:t>备注：本项目说明中所提出的参数和标准仅系说明</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智慧胸痛中心云平台</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编号（202511-8</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rFonts w:hint="eastAsia"/>
          <w:b/>
          <w:sz w:val="32"/>
          <w:szCs w:val="32"/>
        </w:rPr>
      </w:pPr>
      <w:r>
        <w:rPr>
          <w:rFonts w:hint="eastAsia"/>
          <w:b/>
          <w:sz w:val="32"/>
          <w:szCs w:val="32"/>
        </w:rPr>
        <w:t>报价单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1881"/>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产品名称</w:t>
            </w:r>
          </w:p>
        </w:tc>
        <w:tc>
          <w:tcPr>
            <w:tcW w:w="1881"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总价</w:t>
            </w:r>
          </w:p>
        </w:tc>
        <w:tc>
          <w:tcPr>
            <w:tcW w:w="3810"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pPr>
              <w:pStyle w:val="2"/>
              <w:rPr>
                <w:rFonts w:hint="eastAsia"/>
                <w:b/>
                <w:sz w:val="32"/>
                <w:szCs w:val="32"/>
                <w:vertAlign w:val="baseline"/>
              </w:rPr>
            </w:pPr>
          </w:p>
        </w:tc>
        <w:tc>
          <w:tcPr>
            <w:tcW w:w="1881" w:type="dxa"/>
          </w:tcPr>
          <w:p>
            <w:pPr>
              <w:pStyle w:val="2"/>
              <w:rPr>
                <w:rFonts w:hint="eastAsia"/>
                <w:b/>
                <w:sz w:val="32"/>
                <w:szCs w:val="32"/>
                <w:vertAlign w:val="baseline"/>
              </w:rPr>
            </w:pPr>
          </w:p>
        </w:tc>
        <w:tc>
          <w:tcPr>
            <w:tcW w:w="3810" w:type="dxa"/>
          </w:tcPr>
          <w:p>
            <w:pPr>
              <w:pStyle w:val="2"/>
              <w:rPr>
                <w:rFonts w:hint="eastAsia"/>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pPr>
              <w:pStyle w:val="2"/>
              <w:rPr>
                <w:rFonts w:hint="eastAsia"/>
                <w:b/>
                <w:sz w:val="32"/>
                <w:szCs w:val="32"/>
                <w:vertAlign w:val="baseline"/>
              </w:rPr>
            </w:pPr>
          </w:p>
        </w:tc>
        <w:tc>
          <w:tcPr>
            <w:tcW w:w="1881" w:type="dxa"/>
          </w:tcPr>
          <w:p>
            <w:pPr>
              <w:pStyle w:val="2"/>
              <w:rPr>
                <w:rFonts w:hint="eastAsia"/>
                <w:b/>
                <w:sz w:val="32"/>
                <w:szCs w:val="32"/>
                <w:vertAlign w:val="baseline"/>
              </w:rPr>
            </w:pPr>
          </w:p>
        </w:tc>
        <w:tc>
          <w:tcPr>
            <w:tcW w:w="3810" w:type="dxa"/>
          </w:tcPr>
          <w:p>
            <w:pPr>
              <w:pStyle w:val="2"/>
              <w:rPr>
                <w:rFonts w:hint="eastAsia"/>
                <w:b/>
                <w:sz w:val="32"/>
                <w:szCs w:val="32"/>
                <w:vertAlign w:val="baseline"/>
              </w:rPr>
            </w:pPr>
          </w:p>
        </w:tc>
      </w:tr>
    </w:tbl>
    <w:p>
      <w:pPr>
        <w:pStyle w:val="2"/>
        <w:rPr>
          <w:rFonts w:hint="eastAsia"/>
          <w:b/>
          <w:sz w:val="32"/>
          <w:szCs w:val="32"/>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Theme="majorEastAsia" w:hAnsiTheme="majorEastAsia" w:eastAsiaTheme="majorEastAsia" w:cstheme="majorEastAsia"/>
                <w:b/>
                <w:bCs/>
                <w:sz w:val="32"/>
                <w:szCs w:val="32"/>
                <w:lang w:val="en-US" w:eastAsia="zh-CN"/>
              </w:rPr>
              <w:t>智慧胸痛中心云平台项目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w:t>
            </w:r>
            <w:bookmarkStart w:id="3" w:name="_GoBack"/>
            <w:bookmarkEnd w:id="3"/>
            <w:r>
              <w:rPr>
                <w:rFonts w:ascii="Calibri" w:hAnsi="Calibri" w:eastAsia="宋体" w:cs="Times New Roman"/>
                <w:sz w:val="24"/>
                <w:szCs w:val="24"/>
              </w:rPr>
              <w:t>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完成功能</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0</w:t>
            </w:r>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57B154-B4CD-48FC-B9CC-8F04C3E169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566208-8565-4372-B2D3-AA2D4018A3FF}"/>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7EBA0789-41CE-43FD-B6DC-B064C48C36A9}"/>
  </w:font>
  <w:font w:name="方正仿宋_GBK">
    <w:altName w:val="微软雅黑"/>
    <w:panose1 w:val="03000509000000000000"/>
    <w:charset w:val="86"/>
    <w:family w:val="script"/>
    <w:pitch w:val="default"/>
    <w:sig w:usb0="00000000" w:usb1="00000000" w:usb2="00000000" w:usb3="00000000" w:csb0="00040000" w:csb1="00000000"/>
    <w:embedRegular r:id="rId4" w:fontKey="{EAD1768F-0BDE-4785-937D-3864FC4A03AC}"/>
  </w:font>
  <w:font w:name="方正小标宋_GBK">
    <w:altName w:val="微软雅黑"/>
    <w:panose1 w:val="03000509000000000000"/>
    <w:charset w:val="86"/>
    <w:family w:val="script"/>
    <w:pitch w:val="default"/>
    <w:sig w:usb0="00000000" w:usb1="00000000" w:usb2="00000000" w:usb3="00000000" w:csb0="00040000" w:csb1="00000000"/>
    <w:embedRegular r:id="rId5" w:fontKey="{BEEBC500-110F-402C-B7ED-2B9498EA84D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67B05"/>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1C4C12"/>
    <w:rsid w:val="0B385885"/>
    <w:rsid w:val="0E6F445D"/>
    <w:rsid w:val="0F97167D"/>
    <w:rsid w:val="12585FEE"/>
    <w:rsid w:val="137F534D"/>
    <w:rsid w:val="13E97A8B"/>
    <w:rsid w:val="13EE7E6C"/>
    <w:rsid w:val="16EF04BD"/>
    <w:rsid w:val="1AF2758F"/>
    <w:rsid w:val="1AFE1664"/>
    <w:rsid w:val="1CC35F44"/>
    <w:rsid w:val="1CE4719A"/>
    <w:rsid w:val="1DBC3674"/>
    <w:rsid w:val="206029C1"/>
    <w:rsid w:val="20B7141E"/>
    <w:rsid w:val="221A160C"/>
    <w:rsid w:val="22220DE5"/>
    <w:rsid w:val="225549F1"/>
    <w:rsid w:val="22BD4125"/>
    <w:rsid w:val="22C713AB"/>
    <w:rsid w:val="22F43A1F"/>
    <w:rsid w:val="24B730FC"/>
    <w:rsid w:val="25427AAA"/>
    <w:rsid w:val="27F338CC"/>
    <w:rsid w:val="2805210F"/>
    <w:rsid w:val="28576CEA"/>
    <w:rsid w:val="297325AA"/>
    <w:rsid w:val="2990140F"/>
    <w:rsid w:val="2D216A3C"/>
    <w:rsid w:val="2E8E6608"/>
    <w:rsid w:val="31B006DA"/>
    <w:rsid w:val="33E617BD"/>
    <w:rsid w:val="34FC59D1"/>
    <w:rsid w:val="36125141"/>
    <w:rsid w:val="366D5496"/>
    <w:rsid w:val="3CF44D14"/>
    <w:rsid w:val="3E7C6B56"/>
    <w:rsid w:val="40966984"/>
    <w:rsid w:val="43063938"/>
    <w:rsid w:val="43BC6700"/>
    <w:rsid w:val="45E37C15"/>
    <w:rsid w:val="47CB3ECE"/>
    <w:rsid w:val="48161295"/>
    <w:rsid w:val="49687BBC"/>
    <w:rsid w:val="4BA86D1C"/>
    <w:rsid w:val="4BAD7DD3"/>
    <w:rsid w:val="4D411BCB"/>
    <w:rsid w:val="518065BB"/>
    <w:rsid w:val="532C00AA"/>
    <w:rsid w:val="534D6638"/>
    <w:rsid w:val="54ED5DAB"/>
    <w:rsid w:val="5573450E"/>
    <w:rsid w:val="55D954BE"/>
    <w:rsid w:val="55FE7053"/>
    <w:rsid w:val="5B876071"/>
    <w:rsid w:val="5B9571D0"/>
    <w:rsid w:val="61DE16F5"/>
    <w:rsid w:val="65D26704"/>
    <w:rsid w:val="67320BE0"/>
    <w:rsid w:val="698D1AEB"/>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2</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2025-11-24T03:29:30Z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