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Theme="majorEastAsia" w:hAnsiTheme="majorEastAsia" w:eastAsiaTheme="majorEastAsia" w:cstheme="majorEastAsia"/>
          <w:b/>
          <w:bCs/>
          <w:sz w:val="44"/>
          <w:szCs w:val="44"/>
        </w:rPr>
        <w:t>2号楼裙房一层大厅装饰面层安全评估</w:t>
      </w:r>
      <w:r>
        <w:rPr>
          <w:rFonts w:hint="eastAsia" w:asciiTheme="majorEastAsia" w:hAnsiTheme="majorEastAsia" w:eastAsiaTheme="majorEastAsia" w:cstheme="majorEastAsia"/>
          <w:b/>
          <w:bCs/>
          <w:sz w:val="44"/>
          <w:szCs w:val="44"/>
          <w:lang w:val="en-US" w:eastAsia="zh-CN"/>
        </w:rPr>
        <w:t>（202511-9）</w:t>
      </w:r>
      <w:r>
        <w:rPr>
          <w:rFonts w:hint="eastAsia" w:ascii="宋体" w:hAnsi="宋体" w:eastAsia="宋体"/>
          <w:b/>
          <w:sz w:val="36"/>
          <w:szCs w:val="21"/>
          <w:lang w:val="en-US" w:eastAsia="zh-CN"/>
        </w:rPr>
        <w:t>院内比选/调研</w:t>
      </w:r>
      <w:r>
        <w:rPr>
          <w:rFonts w:hint="default"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2、报价表及报价明细表：详见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5、供应商名称、联系人姓名及联系方式、邮箱等信息。</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6、</w:t>
      </w:r>
      <w:r>
        <w:rPr>
          <w:rFonts w:hint="eastAsia" w:ascii="宋体" w:hAnsi="宋体" w:eastAsia="宋体" w:cstheme="minorBidi"/>
          <w:b w:val="0"/>
          <w:bCs/>
          <w:color w:val="auto"/>
          <w:kern w:val="2"/>
          <w:sz w:val="24"/>
          <w:szCs w:val="24"/>
          <w:lang w:val="en-US" w:eastAsia="zh-CN" w:bidi="ar-SA"/>
        </w:rPr>
        <w:t>供应商资质、法人给业务员的授权书（加盖公章，法人和被授权人签字），附法人和被授权人的身份证复印件，以及被授权人在投标公司所缴纳社保证明。</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8、其他医院合同复印件或相关发票(三级医院排在前面，合同需体现项目信息，发票建议提前查验，避免出现冲红发票等问题）。</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10、材料真实性及购销廉洁声明（</w:t>
      </w:r>
      <w:r>
        <w:rPr>
          <w:rFonts w:hint="eastAsia" w:ascii="宋体" w:hAnsi="宋体" w:eastAsia="宋体" w:cstheme="minorBidi"/>
          <w:b/>
          <w:bCs w:val="0"/>
          <w:color w:val="auto"/>
          <w:kern w:val="2"/>
          <w:sz w:val="24"/>
          <w:szCs w:val="24"/>
          <w:lang w:val="en-US" w:eastAsia="zh-CN" w:bidi="ar-SA"/>
        </w:rPr>
        <w:t>见附件5</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11、评分表（</w:t>
      </w:r>
      <w:r>
        <w:rPr>
          <w:rFonts w:hint="eastAsia" w:ascii="宋体" w:hAnsi="宋体" w:eastAsia="宋体" w:cstheme="minorBidi"/>
          <w:b/>
          <w:bCs w:val="0"/>
          <w:color w:val="auto"/>
          <w:kern w:val="2"/>
          <w:sz w:val="24"/>
          <w:szCs w:val="24"/>
          <w:lang w:val="en-US" w:eastAsia="zh-CN" w:bidi="ar-SA"/>
        </w:rPr>
        <w:t>见附件6</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12、产品参数：</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依据的主要技术标准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、《既有建筑鉴定与加固通用规范》GB55021-2021；</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、《混凝土结构设计标准》GB/T50010-2010（2024年版）；</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、《建筑结构荷载规范》GB50009-2012；</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、《建筑地基基础设计规范》GB50007-2011；</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、《建筑结构检测技术标准》GB/T50344-2019；</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、《混凝土结构现场检测技术标准》GB/T50784-2013。</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、竣工图、岩土工程勘察报告、改造记录等原始资料。</w:t>
      </w:r>
    </w:p>
    <w:p>
      <w:pPr>
        <w:pStyle w:val="2"/>
        <w:rPr>
          <w:rFonts w:hint="eastAsia"/>
          <w:sz w:val="24"/>
          <w:szCs w:val="24"/>
        </w:rPr>
      </w:pPr>
    </w:p>
    <w:p>
      <w:pPr>
        <w:pStyle w:val="2"/>
        <w:ind w:firstLine="480"/>
        <w:rPr>
          <w:rFonts w:hint="eastAsia" w:ascii="宋体" w:hAnsi="宋体" w:eastAsia="宋体" w:cs="宋体"/>
          <w:i w:val="0"/>
          <w:iCs w:val="0"/>
          <w:caps w:val="0"/>
          <w:color w:val="666666"/>
          <w:spacing w:val="0"/>
          <w:sz w:val="24"/>
          <w:szCs w:val="24"/>
          <w:shd w:val="clear" w:fill="FFFFFF"/>
          <w:lang w:val="en-US" w:eastAsia="zh-CN"/>
        </w:rPr>
      </w:pPr>
      <w:r>
        <w:rPr>
          <w:rFonts w:hint="eastAsia" w:ascii="宋体" w:hAnsi="宋体" w:eastAsia="宋体" w:cs="宋体"/>
          <w:i w:val="0"/>
          <w:iCs w:val="0"/>
          <w:caps w:val="0"/>
          <w:color w:val="666666"/>
          <w:spacing w:val="0"/>
          <w:sz w:val="24"/>
          <w:szCs w:val="24"/>
          <w:shd w:val="clear" w:fill="FFFFFF"/>
          <w:lang w:val="en-US" w:eastAsia="zh-CN"/>
        </w:rPr>
        <w:t>2、供应商资质要求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、在中国境内注册，持有合法有效的营业执照；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、具有建设行政主管部门颁发的《建设工程质量检测机构资质证书》（综合资质或检测范围须包含主体结构工程检测或主体结构及装饰装修检测专项）；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、具有良好的商业信誉和健全的财务会计制度；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、具有履行合同所必须的设备和专业技术能力；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、具有依法缴纳税收和社会保障资金的良好记录；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、参加本次采购活动前三年内，在经营活动中没有重大违法记录；</w:t>
      </w:r>
    </w:p>
    <w:p>
      <w:pPr>
        <w:pStyle w:val="2"/>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、本项目不接受联合体投标。</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备注：（本报价包含产品费用、专家费、人工费、税费、所需材料费及检测费等所有费用）。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b/>
          <w:bCs/>
          <w:color w:val="FF0000"/>
          <w:sz w:val="24"/>
          <w:szCs w:val="24"/>
          <w:lang w:val="en-US" w:eastAsia="zh-CN"/>
        </w:rPr>
        <w:t>扫描</w:t>
      </w:r>
      <w:bookmarkStart w:id="2" w:name="_GoBack"/>
      <w:bookmarkEnd w:id="2"/>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黑体" w:hAnsi="宋体" w:eastAsia="黑体" w:cstheme="minorBidi"/>
          <w:kern w:val="2"/>
          <w:sz w:val="48"/>
          <w:szCs w:val="52"/>
          <w:lang w:val="en-US" w:eastAsia="zh-CN" w:bidi="ar-SA"/>
        </w:rPr>
      </w:pPr>
      <w:r>
        <w:rPr>
          <w:rFonts w:hint="eastAsia" w:asciiTheme="majorEastAsia" w:hAnsiTheme="majorEastAsia" w:eastAsiaTheme="majorEastAsia" w:cstheme="majorEastAsia"/>
          <w:b/>
          <w:bCs/>
          <w:sz w:val="44"/>
          <w:szCs w:val="44"/>
        </w:rPr>
        <w:t>2号楼裙房一层大厅装饰面层安全评估</w:t>
      </w:r>
      <w:r>
        <w:rPr>
          <w:rFonts w:hint="eastAsia" w:ascii="黑体" w:hAnsi="宋体" w:eastAsia="黑体" w:cstheme="minorBidi"/>
          <w:kern w:val="2"/>
          <w:sz w:val="48"/>
          <w:szCs w:val="52"/>
          <w:lang w:val="en-US" w:eastAsia="zh-CN" w:bidi="ar-SA"/>
        </w:rPr>
        <w:t>编号（202511-9）</w:t>
      </w: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3049"/>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48" w:type="dxa"/>
          </w:tcPr>
          <w:p>
            <w:pPr>
              <w:rPr>
                <w:rFonts w:hint="default" w:eastAsiaTheme="minorEastAsia"/>
                <w:vertAlign w:val="baseline"/>
                <w:lang w:val="en-US" w:eastAsia="zh-CN"/>
              </w:rPr>
            </w:pPr>
            <w:r>
              <w:rPr>
                <w:rFonts w:hint="eastAsia"/>
                <w:vertAlign w:val="baseline"/>
                <w:lang w:val="en-US" w:eastAsia="zh-CN"/>
              </w:rPr>
              <w:t>项目名称</w:t>
            </w:r>
          </w:p>
        </w:tc>
        <w:tc>
          <w:tcPr>
            <w:tcW w:w="3049" w:type="dxa"/>
          </w:tcPr>
          <w:p>
            <w:pPr>
              <w:rPr>
                <w:rFonts w:hint="eastAsia" w:eastAsiaTheme="minorEastAsia"/>
                <w:vertAlign w:val="baseline"/>
                <w:lang w:val="en-US" w:eastAsia="zh-CN"/>
              </w:rPr>
            </w:pPr>
            <w:r>
              <w:rPr>
                <w:rFonts w:hint="eastAsia"/>
                <w:vertAlign w:val="baseline"/>
                <w:lang w:val="en-US" w:eastAsia="zh-CN"/>
              </w:rPr>
              <w:t>报价</w:t>
            </w:r>
          </w:p>
        </w:tc>
        <w:tc>
          <w:tcPr>
            <w:tcW w:w="3049" w:type="dxa"/>
          </w:tcPr>
          <w:p>
            <w:pPr>
              <w:rPr>
                <w:rFonts w:hint="default" w:eastAsiaTheme="minorEastAsia"/>
                <w:vertAlign w:val="baseline"/>
                <w:lang w:val="en-US" w:eastAsia="zh-CN"/>
              </w:rPr>
            </w:pPr>
            <w:r>
              <w:rPr>
                <w:rFonts w:hint="eastAsia"/>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3048" w:type="dxa"/>
          </w:tcPr>
          <w:p>
            <w:pPr>
              <w:rPr>
                <w:vertAlign w:val="baseline"/>
              </w:rPr>
            </w:pPr>
            <w:r>
              <w:rPr>
                <w:rFonts w:hint="eastAsia" w:asciiTheme="majorEastAsia" w:hAnsiTheme="majorEastAsia" w:eastAsiaTheme="majorEastAsia" w:cstheme="majorEastAsia"/>
                <w:b/>
                <w:bCs/>
                <w:sz w:val="44"/>
                <w:szCs w:val="44"/>
              </w:rPr>
              <w:t>2号楼裙房一层大厅装饰面层安全评估</w:t>
            </w:r>
          </w:p>
        </w:tc>
        <w:tc>
          <w:tcPr>
            <w:tcW w:w="3049" w:type="dxa"/>
          </w:tcPr>
          <w:p>
            <w:pPr>
              <w:rPr>
                <w:vertAlign w:val="baseline"/>
              </w:rPr>
            </w:pPr>
          </w:p>
        </w:tc>
        <w:tc>
          <w:tcPr>
            <w:tcW w:w="3049" w:type="dxa"/>
          </w:tcPr>
          <w:p>
            <w:pPr>
              <w:rPr>
                <w:rFonts w:hint="default" w:eastAsiaTheme="minorEastAsia"/>
                <w:vertAlign w:val="baseline"/>
                <w:lang w:val="en-US" w:eastAsia="zh-CN"/>
              </w:rPr>
            </w:pPr>
            <w:r>
              <w:rPr>
                <w:rFonts w:hint="eastAsia"/>
                <w:vertAlign w:val="baseline"/>
                <w:lang w:val="en-US" w:eastAsia="zh-CN"/>
              </w:rPr>
              <w:t>不超过10天</w:t>
            </w:r>
          </w:p>
        </w:tc>
      </w:tr>
    </w:tbl>
    <w:p/>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Theme="majorEastAsia" w:hAnsiTheme="majorEastAsia" w:eastAsiaTheme="majorEastAsia" w:cstheme="majorEastAsia"/>
                <w:b/>
                <w:bCs/>
                <w:sz w:val="32"/>
                <w:szCs w:val="32"/>
              </w:rPr>
              <w:t>2号楼裙房一层大厅装饰面层安全评估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18"/>
                <w:szCs w:val="18"/>
                <w:lang w:eastAsia="zh-CN"/>
              </w:rPr>
            </w:pPr>
            <w:r>
              <w:rPr>
                <w:rFonts w:hint="eastAsia" w:ascii="Calibri" w:hAnsi="Calibri" w:eastAsia="宋体" w:cs="Times New Roman"/>
                <w:sz w:val="18"/>
                <w:szCs w:val="18"/>
                <w:lang w:eastAsia="zh-CN"/>
              </w:rPr>
              <w:t>①营业执照</w:t>
            </w:r>
          </w:p>
          <w:p>
            <w:pPr>
              <w:spacing w:line="400" w:lineRule="exact"/>
              <w:rPr>
                <w:rFonts w:hint="eastAsia" w:ascii="Calibri" w:hAnsi="Calibri" w:eastAsia="宋体" w:cs="Times New Roman"/>
                <w:sz w:val="18"/>
                <w:szCs w:val="18"/>
                <w:lang w:eastAsia="zh-CN"/>
              </w:rPr>
            </w:pPr>
            <w:r>
              <w:rPr>
                <w:rFonts w:hint="default" w:ascii="Calibri" w:hAnsi="Calibri" w:eastAsia="宋体" w:cs="Calibri"/>
                <w:sz w:val="24"/>
                <w:szCs w:val="24"/>
                <w:lang w:eastAsia="zh-CN"/>
              </w:rPr>
              <w:t>②</w:t>
            </w:r>
            <w:r>
              <w:rPr>
                <w:rFonts w:hint="eastAsia" w:ascii="宋体" w:hAnsi="宋体" w:eastAsia="宋体" w:cs="宋体"/>
                <w:sz w:val="18"/>
                <w:szCs w:val="18"/>
              </w:rPr>
              <w:t>具有建设行政主管部门颁发的《建设工程质量检测机构资质证书》（综合资质或检测范围须包含主体结构工程检测或主体结构及装饰装修检测专项）</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④</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p>
    <w:p>
      <w:pPr>
        <w:pStyle w:val="16"/>
        <w:adjustRightInd w:val="0"/>
        <w:spacing w:before="160" w:after="160"/>
        <w:ind w:firstLine="643"/>
        <w:contextualSpacing/>
        <w:rPr>
          <w:rFonts w:hint="eastAsia" w:ascii="方正仿宋_GBK" w:eastAsia="方正仿宋_GBK"/>
          <w:b/>
          <w:sz w:val="32"/>
          <w:lang w:val="en-US" w:eastAsia="zh-CN"/>
        </w:rPr>
      </w:pPr>
    </w:p>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jc w:val="left"/>
        <w:rPr>
          <w:rFonts w:hint="eastAsia"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附件6：评分表</w:t>
      </w:r>
    </w:p>
    <w:p>
      <w:pPr>
        <w:pStyle w:val="2"/>
        <w:rPr>
          <w:rFonts w:hint="default" w:eastAsiaTheme="minorEastAsia"/>
          <w:bCs/>
          <w:lang w:val="en-US" w:eastAsia="zh-CN"/>
        </w:rPr>
      </w:pPr>
    </w:p>
    <w:tbl>
      <w:tblPr>
        <w:tblStyle w:val="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299"/>
        <w:gridCol w:w="756"/>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b/>
                <w:bCs/>
                <w:sz w:val="24"/>
                <w:szCs w:val="24"/>
                <w14:ligatures w14:val="none"/>
              </w:rPr>
            </w:pPr>
            <w:r>
              <w:rPr>
                <w:rFonts w:hint="eastAsia" w:ascii="仿宋" w:hAnsi="仿宋" w:eastAsia="仿宋" w:cs="Times New Roman"/>
                <w:b/>
                <w:bCs/>
                <w:sz w:val="24"/>
                <w:szCs w:val="24"/>
                <w14:ligatures w14:val="none"/>
              </w:rPr>
              <w:t>序号</w:t>
            </w:r>
          </w:p>
        </w:tc>
        <w:tc>
          <w:tcPr>
            <w:tcW w:w="711" w:type="pct"/>
            <w:vAlign w:val="center"/>
          </w:tcPr>
          <w:p>
            <w:pPr>
              <w:spacing w:line="276" w:lineRule="auto"/>
              <w:contextualSpacing/>
              <w:jc w:val="center"/>
              <w:rPr>
                <w:rFonts w:ascii="仿宋" w:hAnsi="仿宋" w:eastAsia="仿宋" w:cs="Times New Roman"/>
                <w:b/>
                <w:bCs/>
                <w:sz w:val="24"/>
                <w:szCs w:val="24"/>
                <w14:ligatures w14:val="none"/>
              </w:rPr>
            </w:pPr>
            <w:r>
              <w:rPr>
                <w:rFonts w:hint="eastAsia" w:ascii="仿宋" w:hAnsi="仿宋" w:eastAsia="仿宋" w:cs="Times New Roman"/>
                <w:b/>
                <w:bCs/>
                <w:sz w:val="24"/>
                <w:szCs w:val="24"/>
                <w14:ligatures w14:val="none"/>
              </w:rPr>
              <w:t>评审内容</w:t>
            </w:r>
          </w:p>
        </w:tc>
        <w:tc>
          <w:tcPr>
            <w:tcW w:w="414" w:type="pct"/>
            <w:vAlign w:val="center"/>
          </w:tcPr>
          <w:p>
            <w:pPr>
              <w:spacing w:line="276" w:lineRule="auto"/>
              <w:contextualSpacing/>
              <w:jc w:val="center"/>
              <w:rPr>
                <w:rFonts w:ascii="仿宋" w:hAnsi="仿宋" w:eastAsia="仿宋" w:cs="Times New Roman"/>
                <w:b/>
                <w:bCs/>
                <w:sz w:val="24"/>
                <w:szCs w:val="24"/>
                <w14:ligatures w14:val="none"/>
              </w:rPr>
            </w:pPr>
            <w:r>
              <w:rPr>
                <w:rFonts w:ascii="仿宋" w:hAnsi="仿宋" w:eastAsia="仿宋" w:cs="Times New Roman"/>
                <w:b/>
                <w:bCs/>
                <w:kern w:val="0"/>
                <w:sz w:val="24"/>
                <w:szCs w:val="24"/>
                <w14:ligatures w14:val="none"/>
              </w:rPr>
              <w:t>分值</w:t>
            </w:r>
          </w:p>
        </w:tc>
        <w:tc>
          <w:tcPr>
            <w:tcW w:w="3493" w:type="pct"/>
            <w:vAlign w:val="center"/>
          </w:tcPr>
          <w:p>
            <w:pPr>
              <w:spacing w:line="276" w:lineRule="auto"/>
              <w:contextualSpacing/>
              <w:jc w:val="center"/>
              <w:rPr>
                <w:rFonts w:ascii="仿宋" w:hAnsi="仿宋" w:eastAsia="仿宋" w:cs="Times New Roman"/>
                <w:b/>
                <w:bCs/>
                <w:sz w:val="24"/>
                <w:szCs w:val="24"/>
                <w14:ligatures w14:val="none"/>
              </w:rPr>
            </w:pPr>
            <w:r>
              <w:rPr>
                <w:rFonts w:ascii="仿宋" w:hAnsi="仿宋" w:eastAsia="仿宋" w:cs="Times New Roman"/>
                <w:b/>
                <w:bCs/>
                <w:kern w:val="0"/>
                <w:sz w:val="24"/>
                <w:szCs w:val="24"/>
                <w14:ligatures w14: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1</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总报价</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lang w:val="en-US" w:eastAsia="zh-CN"/>
                <w14:ligatures w14:val="none"/>
              </w:rPr>
              <w:t>30</w:t>
            </w:r>
            <w:r>
              <w:rPr>
                <w:rFonts w:ascii="仿宋" w:hAnsi="仿宋" w:eastAsia="仿宋" w:cs="Times New Roman"/>
                <w:sz w:val="24"/>
                <w:szCs w:val="24"/>
                <w14:ligatures w14:val="none"/>
              </w:rPr>
              <w:t>分</w:t>
            </w:r>
          </w:p>
        </w:tc>
        <w:tc>
          <w:tcPr>
            <w:tcW w:w="3493" w:type="pct"/>
            <w:vAlign w:val="center"/>
          </w:tcPr>
          <w:p>
            <w:pPr>
              <w:spacing w:line="276" w:lineRule="auto"/>
              <w:contextualSpacing/>
              <w:rPr>
                <w:rFonts w:ascii="仿宋" w:hAnsi="仿宋" w:eastAsia="仿宋" w:cs="Times New Roman"/>
                <w:sz w:val="24"/>
                <w:szCs w:val="24"/>
                <w14:ligatures w14:val="none"/>
              </w:rPr>
            </w:pPr>
            <w:r>
              <w:rPr>
                <w:rFonts w:hint="eastAsia" w:ascii="宋体" w:hAnsi="宋体"/>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szCs w:val="21"/>
                <w:lang w:val="en-US" w:eastAsia="zh-CN"/>
              </w:rPr>
              <w:t>30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2</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类似项目</w:t>
            </w:r>
          </w:p>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业绩</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lang w:val="en-US" w:eastAsia="zh-CN"/>
                <w14:ligatures w14:val="none"/>
              </w:rPr>
              <w:t>10</w:t>
            </w:r>
            <w:r>
              <w:rPr>
                <w:rFonts w:ascii="仿宋" w:hAnsi="仿宋" w:eastAsia="仿宋" w:cs="Times New Roman"/>
                <w:sz w:val="24"/>
                <w:szCs w:val="24"/>
                <w14:ligatures w14:val="none"/>
              </w:rPr>
              <w:t>分</w:t>
            </w:r>
          </w:p>
        </w:tc>
        <w:tc>
          <w:tcPr>
            <w:tcW w:w="3493" w:type="pct"/>
            <w:vAlign w:val="center"/>
          </w:tcPr>
          <w:p>
            <w:pPr>
              <w:spacing w:line="276" w:lineRule="auto"/>
              <w:contextualSpacing/>
              <w:rPr>
                <w:rFonts w:ascii="仿宋" w:hAnsi="仿宋" w:eastAsia="仿宋" w:cs="Times New Roman"/>
                <w:sz w:val="24"/>
                <w:szCs w:val="24"/>
                <w14:ligatures w14:val="none"/>
              </w:rPr>
            </w:pPr>
            <w:r>
              <w:rPr>
                <w:rFonts w:ascii="仿宋" w:hAnsi="仿宋" w:eastAsia="仿宋" w:cs="Times New Roman"/>
                <w:sz w:val="24"/>
                <w:szCs w:val="24"/>
                <w14:ligatures w14:val="none"/>
              </w:rPr>
              <w:t>报价单位近三年（磋商日前推三年精确到日）</w:t>
            </w:r>
            <w:r>
              <w:rPr>
                <w:rFonts w:hint="eastAsia" w:ascii="仿宋" w:hAnsi="仿宋" w:eastAsia="仿宋" w:cs="Times New Roman"/>
                <w:sz w:val="24"/>
                <w:szCs w:val="24"/>
                <w14:ligatures w14:val="none"/>
              </w:rPr>
              <w:t>完成的类似项目业绩</w:t>
            </w:r>
            <w:r>
              <w:rPr>
                <w:rFonts w:ascii="仿宋" w:hAnsi="仿宋" w:eastAsia="仿宋" w:cs="Times New Roman"/>
                <w:sz w:val="24"/>
                <w:szCs w:val="24"/>
                <w14:ligatures w14:val="none"/>
              </w:rPr>
              <w:t>，每有一个得</w:t>
            </w:r>
            <w:r>
              <w:rPr>
                <w:rFonts w:hint="eastAsia" w:ascii="仿宋" w:hAnsi="仿宋" w:eastAsia="仿宋" w:cs="Times New Roman"/>
                <w:sz w:val="24"/>
                <w:szCs w:val="24"/>
                <w:lang w:val="en-US" w:eastAsia="zh-CN"/>
                <w14:ligatures w14:val="none"/>
              </w:rPr>
              <w:t>2</w:t>
            </w:r>
            <w:r>
              <w:rPr>
                <w:rFonts w:ascii="仿宋" w:hAnsi="仿宋" w:eastAsia="仿宋" w:cs="Times New Roman"/>
                <w:sz w:val="24"/>
                <w:szCs w:val="24"/>
                <w14:ligatures w14:val="none"/>
              </w:rPr>
              <w:t>分，最高得</w:t>
            </w:r>
            <w:r>
              <w:rPr>
                <w:rFonts w:hint="eastAsia" w:ascii="仿宋" w:hAnsi="仿宋" w:eastAsia="仿宋" w:cs="Times New Roman"/>
                <w:sz w:val="24"/>
                <w:szCs w:val="24"/>
                <w:lang w:val="en-US" w:eastAsia="zh-CN"/>
                <w14:ligatures w14:val="none"/>
              </w:rPr>
              <w:t>10</w:t>
            </w:r>
            <w:r>
              <w:rPr>
                <w:rFonts w:ascii="仿宋" w:hAnsi="仿宋" w:eastAsia="仿宋" w:cs="Times New Roman"/>
                <w:sz w:val="24"/>
                <w:szCs w:val="24"/>
                <w14:ligatures w14:val="none"/>
              </w:rPr>
              <w:t>分。</w:t>
            </w:r>
          </w:p>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注：（1）时间以合同签订时间为准；</w:t>
            </w:r>
          </w:p>
          <w:p>
            <w:pPr>
              <w:spacing w:line="276" w:lineRule="auto"/>
              <w:contextualSpacing/>
              <w:rPr>
                <w:rFonts w:ascii="仿宋" w:hAnsi="仿宋" w:eastAsia="仿宋" w:cs="Times New Roman"/>
                <w:sz w:val="24"/>
                <w:szCs w:val="24"/>
                <w14:ligatures w14:val="none"/>
              </w:rPr>
            </w:pPr>
            <w:r>
              <w:rPr>
                <w:rFonts w:ascii="仿宋" w:hAnsi="仿宋" w:eastAsia="仿宋" w:cs="Times New Roman"/>
                <w:bCs/>
                <w:sz w:val="24"/>
                <w:szCs w:val="24"/>
                <w14:ligatures w14:val="none"/>
              </w:rPr>
              <w:t>（2）</w:t>
            </w:r>
            <w:r>
              <w:rPr>
                <w:rFonts w:hint="eastAsia" w:ascii="仿宋" w:hAnsi="仿宋" w:eastAsia="仿宋" w:cs="Times New Roman"/>
                <w:bCs/>
                <w:sz w:val="24"/>
                <w:szCs w:val="24"/>
                <w14:ligatures w14:val="none"/>
              </w:rPr>
              <w:t>需附合同主要页面复印件</w:t>
            </w:r>
            <w:r>
              <w:rPr>
                <w:rFonts w:ascii="仿宋" w:hAnsi="仿宋" w:eastAsia="仿宋" w:cs="Times New Roman"/>
                <w:bCs/>
                <w:sz w:val="24"/>
                <w:szCs w:val="24"/>
                <w14:ligatures w14:val="none"/>
              </w:rPr>
              <w:t>，</w:t>
            </w:r>
            <w:r>
              <w:rPr>
                <w:rFonts w:hint="eastAsia" w:ascii="仿宋" w:hAnsi="仿宋" w:eastAsia="仿宋" w:cs="Times New Roman"/>
                <w:bCs/>
                <w:sz w:val="24"/>
                <w:szCs w:val="24"/>
                <w14:ligatures w14:val="none"/>
              </w:rPr>
              <w:t>否则</w:t>
            </w:r>
            <w:r>
              <w:rPr>
                <w:rFonts w:ascii="仿宋" w:hAnsi="仿宋" w:eastAsia="仿宋" w:cs="Times New Roman"/>
                <w:bCs/>
                <w:sz w:val="24"/>
                <w:szCs w:val="24"/>
                <w14:ligatures w14: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4</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项目负责人</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6分</w:t>
            </w:r>
          </w:p>
        </w:tc>
        <w:tc>
          <w:tcPr>
            <w:tcW w:w="3493" w:type="pct"/>
            <w:vAlign w:val="center"/>
          </w:tcPr>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1、项目负责人具有</w:t>
            </w:r>
            <w:r>
              <w:rPr>
                <w:rFonts w:hint="eastAsia" w:ascii="仿宋" w:hAnsi="仿宋" w:eastAsia="仿宋" w:cs="Times New Roman"/>
                <w:bCs/>
                <w:sz w:val="24"/>
                <w:szCs w:val="24"/>
                <w14:ligatures w14:val="none"/>
              </w:rPr>
              <w:t>一</w:t>
            </w:r>
            <w:r>
              <w:rPr>
                <w:rFonts w:ascii="仿宋" w:hAnsi="仿宋" w:eastAsia="仿宋" w:cs="Times New Roman"/>
                <w:bCs/>
                <w:sz w:val="24"/>
                <w:szCs w:val="24"/>
                <w14:ligatures w14:val="none"/>
              </w:rPr>
              <w:t>级注册结构工程师执业资格证书的得3分，不具备者不得分，本项最高得3分。</w:t>
            </w:r>
          </w:p>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2、项目负责人具有工程系列</w:t>
            </w:r>
            <w:r>
              <w:rPr>
                <w:rFonts w:hint="eastAsia" w:ascii="仿宋" w:hAnsi="仿宋" w:eastAsia="仿宋" w:cs="Times New Roman"/>
                <w:bCs/>
                <w:sz w:val="24"/>
                <w:szCs w:val="24"/>
                <w14:ligatures w14:val="none"/>
              </w:rPr>
              <w:t>高级</w:t>
            </w:r>
            <w:r>
              <w:rPr>
                <w:rFonts w:ascii="仿宋" w:hAnsi="仿宋" w:eastAsia="仿宋" w:cs="Times New Roman"/>
                <w:bCs/>
                <w:sz w:val="24"/>
                <w:szCs w:val="24"/>
                <w14:ligatures w14:val="none"/>
              </w:rPr>
              <w:t>工程师职称证书的得3分，其他不得分，本项最高得3分。</w:t>
            </w:r>
          </w:p>
          <w:p>
            <w:pPr>
              <w:spacing w:line="276" w:lineRule="auto"/>
              <w:contextualSpacing/>
              <w:rPr>
                <w:rFonts w:ascii="仿宋" w:hAnsi="仿宋" w:eastAsia="仿宋" w:cs="Times New Roman"/>
                <w:b/>
                <w:sz w:val="24"/>
                <w:szCs w:val="24"/>
                <w14:ligatures w14:val="none"/>
              </w:rPr>
            </w:pPr>
            <w:r>
              <w:rPr>
                <w:rFonts w:ascii="仿宋" w:hAnsi="仿宋" w:eastAsia="仿宋" w:cs="Times New Roman"/>
                <w:bCs/>
                <w:sz w:val="24"/>
                <w:szCs w:val="24"/>
                <w14:ligatures w14:val="none"/>
              </w:rPr>
              <w:t>注：响应文件中附项目负责人</w:t>
            </w:r>
            <w:r>
              <w:rPr>
                <w:rFonts w:hint="eastAsia" w:ascii="仿宋" w:hAnsi="仿宋" w:eastAsia="仿宋" w:cs="Times New Roman"/>
                <w:bCs/>
                <w:sz w:val="24"/>
                <w:szCs w:val="24"/>
                <w14:ligatures w14:val="none"/>
              </w:rPr>
              <w:t>社保证明及</w:t>
            </w:r>
            <w:r>
              <w:rPr>
                <w:rFonts w:ascii="仿宋" w:hAnsi="仿宋" w:eastAsia="仿宋" w:cs="Times New Roman"/>
                <w:bCs/>
                <w:sz w:val="24"/>
                <w:szCs w:val="24"/>
                <w14:ligatures w14:val="none"/>
              </w:rPr>
              <w:t>相关证书复印件，否则不得分。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5</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服务团队成员能力</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9</w:t>
            </w:r>
            <w:r>
              <w:rPr>
                <w:rFonts w:ascii="仿宋" w:hAnsi="仿宋" w:eastAsia="仿宋" w:cs="Times New Roman"/>
                <w:sz w:val="24"/>
                <w:szCs w:val="24"/>
                <w14:ligatures w14:val="none"/>
              </w:rPr>
              <w:t>分</w:t>
            </w:r>
          </w:p>
        </w:tc>
        <w:tc>
          <w:tcPr>
            <w:tcW w:w="3493" w:type="pct"/>
            <w:vAlign w:val="center"/>
          </w:tcPr>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拟投入本项目的团队成员（项目负责人除外）具有二级及以上注册结构工程师执业资格证书的，每人得</w:t>
            </w:r>
            <w:r>
              <w:rPr>
                <w:rFonts w:hint="eastAsia" w:ascii="仿宋" w:hAnsi="仿宋" w:eastAsia="仿宋" w:cs="Times New Roman"/>
                <w:bCs/>
                <w:sz w:val="24"/>
                <w:szCs w:val="24"/>
                <w14:ligatures w14:val="none"/>
              </w:rPr>
              <w:t>2</w:t>
            </w:r>
            <w:r>
              <w:rPr>
                <w:rFonts w:ascii="仿宋" w:hAnsi="仿宋" w:eastAsia="仿宋" w:cs="Times New Roman"/>
                <w:bCs/>
                <w:sz w:val="24"/>
                <w:szCs w:val="24"/>
                <w14:ligatures w14:val="none"/>
              </w:rPr>
              <w:t>分，最高得</w:t>
            </w:r>
            <w:r>
              <w:rPr>
                <w:rFonts w:hint="eastAsia" w:ascii="仿宋" w:hAnsi="仿宋" w:eastAsia="仿宋" w:cs="Times New Roman"/>
                <w:bCs/>
                <w:sz w:val="24"/>
                <w:szCs w:val="24"/>
                <w14:ligatures w14:val="none"/>
              </w:rPr>
              <w:t>4</w:t>
            </w:r>
            <w:r>
              <w:rPr>
                <w:rFonts w:ascii="仿宋" w:hAnsi="仿宋" w:eastAsia="仿宋" w:cs="Times New Roman"/>
                <w:bCs/>
                <w:sz w:val="24"/>
                <w:szCs w:val="24"/>
                <w14:ligatures w14:val="none"/>
              </w:rPr>
              <w:t>分；具有工程系列</w:t>
            </w:r>
            <w:r>
              <w:rPr>
                <w:rFonts w:hint="eastAsia" w:ascii="仿宋" w:hAnsi="仿宋" w:eastAsia="仿宋" w:cs="Times New Roman"/>
                <w:bCs/>
                <w:sz w:val="24"/>
                <w:szCs w:val="24"/>
                <w14:ligatures w14:val="none"/>
              </w:rPr>
              <w:t>中级及以上</w:t>
            </w:r>
            <w:r>
              <w:rPr>
                <w:rFonts w:ascii="仿宋" w:hAnsi="仿宋" w:eastAsia="仿宋" w:cs="Times New Roman"/>
                <w:bCs/>
                <w:sz w:val="24"/>
                <w:szCs w:val="24"/>
                <w14:ligatures w14:val="none"/>
              </w:rPr>
              <w:t>职称的，每有一名加</w:t>
            </w:r>
            <w:r>
              <w:rPr>
                <w:rFonts w:hint="eastAsia" w:ascii="仿宋" w:hAnsi="仿宋" w:eastAsia="仿宋" w:cs="Times New Roman"/>
                <w:bCs/>
                <w:sz w:val="24"/>
                <w:szCs w:val="24"/>
                <w14:ligatures w14:val="none"/>
              </w:rPr>
              <w:t>1</w:t>
            </w:r>
            <w:r>
              <w:rPr>
                <w:rFonts w:ascii="仿宋" w:hAnsi="仿宋" w:eastAsia="仿宋" w:cs="Times New Roman"/>
                <w:bCs/>
                <w:sz w:val="24"/>
                <w:szCs w:val="24"/>
                <w14:ligatures w14:val="none"/>
              </w:rPr>
              <w:t>分，最高得</w:t>
            </w:r>
            <w:r>
              <w:rPr>
                <w:rFonts w:hint="eastAsia" w:ascii="仿宋" w:hAnsi="仿宋" w:eastAsia="仿宋" w:cs="Times New Roman"/>
                <w:bCs/>
                <w:sz w:val="24"/>
                <w:szCs w:val="24"/>
                <w14:ligatures w14:val="none"/>
              </w:rPr>
              <w:t>5</w:t>
            </w:r>
            <w:r>
              <w:rPr>
                <w:rFonts w:ascii="仿宋" w:hAnsi="仿宋" w:eastAsia="仿宋" w:cs="Times New Roman"/>
                <w:bCs/>
                <w:sz w:val="24"/>
                <w:szCs w:val="24"/>
                <w14:ligatures w14:val="none"/>
              </w:rPr>
              <w:t>分。本项最高得</w:t>
            </w:r>
            <w:r>
              <w:rPr>
                <w:rFonts w:hint="eastAsia" w:ascii="仿宋" w:hAnsi="仿宋" w:eastAsia="仿宋" w:cs="Times New Roman"/>
                <w:bCs/>
                <w:sz w:val="24"/>
                <w:szCs w:val="24"/>
                <w14:ligatures w14:val="none"/>
              </w:rPr>
              <w:t>9</w:t>
            </w:r>
            <w:r>
              <w:rPr>
                <w:rFonts w:ascii="仿宋" w:hAnsi="仿宋" w:eastAsia="仿宋" w:cs="Times New Roman"/>
                <w:bCs/>
                <w:sz w:val="24"/>
                <w:szCs w:val="24"/>
                <w14:ligatures w14:val="none"/>
              </w:rPr>
              <w:t>分。</w:t>
            </w:r>
          </w:p>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注：（1）同一团队成员同时具有注册结构工程师执业资格证书和职称证书的，以注册结构工程师计分，不重复计分。</w:t>
            </w:r>
          </w:p>
          <w:p>
            <w:pPr>
              <w:spacing w:line="276" w:lineRule="auto"/>
              <w:contextualSpacing/>
              <w:rPr>
                <w:rFonts w:ascii="仿宋" w:hAnsi="仿宋" w:eastAsia="仿宋" w:cs="Times New Roman"/>
                <w:sz w:val="24"/>
                <w:szCs w:val="24"/>
                <w14:ligatures w14:val="none"/>
              </w:rPr>
            </w:pPr>
            <w:r>
              <w:rPr>
                <w:rFonts w:ascii="仿宋" w:hAnsi="仿宋" w:eastAsia="仿宋" w:cs="Times New Roman"/>
                <w:bCs/>
                <w:sz w:val="24"/>
                <w:szCs w:val="24"/>
                <w14:ligatures w14:val="none"/>
              </w:rPr>
              <w:t>（2）响应文件中附团队成员（项目负责人除外）</w:t>
            </w:r>
            <w:r>
              <w:rPr>
                <w:rFonts w:hint="eastAsia" w:ascii="仿宋" w:hAnsi="仿宋" w:eastAsia="仿宋" w:cs="Times New Roman"/>
                <w:bCs/>
                <w:sz w:val="24"/>
                <w:szCs w:val="24"/>
                <w14:ligatures w14:val="none"/>
              </w:rPr>
              <w:t>社保证明及</w:t>
            </w:r>
            <w:r>
              <w:rPr>
                <w:rFonts w:ascii="仿宋" w:hAnsi="仿宋" w:eastAsia="仿宋" w:cs="Times New Roman"/>
                <w:bCs/>
                <w:sz w:val="24"/>
                <w:szCs w:val="24"/>
                <w14:ligatures w14:val="none"/>
              </w:rPr>
              <w:t>相关证书复印件，否则不得分。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7</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服务方案</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lang w:val="en-US" w:eastAsia="zh-CN"/>
                <w14:ligatures w14:val="none"/>
              </w:rPr>
              <w:t>45</w:t>
            </w:r>
            <w:r>
              <w:rPr>
                <w:rFonts w:ascii="仿宋" w:hAnsi="仿宋" w:eastAsia="仿宋" w:cs="Times New Roman"/>
                <w:sz w:val="24"/>
                <w:szCs w:val="24"/>
                <w14:ligatures w14:val="none"/>
              </w:rPr>
              <w:t>分</w:t>
            </w:r>
          </w:p>
        </w:tc>
        <w:tc>
          <w:tcPr>
            <w:tcW w:w="3493" w:type="pct"/>
            <w:vAlign w:val="center"/>
          </w:tcPr>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根据报价单位服务方案科学性、合理性、完善性；工作内容是否齐全，工作方法、工作流程是否合理有效，实施要点是否分析透彻且有针对性，由磋商小组在1-35分之间酌情打分。</w:t>
            </w:r>
          </w:p>
        </w:tc>
      </w:tr>
    </w:tbl>
    <w:p>
      <w:pPr>
        <w:pStyle w:val="2"/>
        <w:rPr>
          <w:rFonts w:hint="default" w:eastAsiaTheme="minorEastAsia"/>
          <w:bCs/>
          <w:lang w:val="en-US" w:eastAsia="zh-CN"/>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0ABCCA-3CD7-4262-AD0F-7C08440290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8626CC-2828-4785-99A0-B0A381188288}"/>
  </w:font>
  <w:font w:name="方正仿宋_GBK">
    <w:panose1 w:val="03000509000000000000"/>
    <w:charset w:val="86"/>
    <w:family w:val="script"/>
    <w:pitch w:val="default"/>
    <w:sig w:usb0="00000001" w:usb1="080E0000" w:usb2="00000000" w:usb3="00000000" w:csb0="00040000" w:csb1="00000000"/>
    <w:embedRegular r:id="rId3" w:fontKey="{5EDCEBC1-D888-460F-B611-A2E51AFC5D07}"/>
  </w:font>
  <w:font w:name="方正小标宋_GBK">
    <w:panose1 w:val="03000509000000000000"/>
    <w:charset w:val="86"/>
    <w:family w:val="script"/>
    <w:pitch w:val="default"/>
    <w:sig w:usb0="00000001" w:usb1="080E0000" w:usb2="00000000" w:usb3="00000000" w:csb0="00040000" w:csb1="00000000"/>
    <w:embedRegular r:id="rId4" w:fontKey="{0451C7ED-1CD4-4D65-B594-4F2E3B09F4E0}"/>
  </w:font>
  <w:font w:name="仿宋">
    <w:panose1 w:val="02010609060101010101"/>
    <w:charset w:val="86"/>
    <w:family w:val="modern"/>
    <w:pitch w:val="default"/>
    <w:sig w:usb0="800002BF" w:usb1="38CF7CFA" w:usb2="00000016" w:usb3="00000000" w:csb0="00040001" w:csb1="00000000"/>
    <w:embedRegular r:id="rId5" w:fontKey="{AB28558D-653B-47BC-BEC1-D906ABDE21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256579"/>
    <w:rsid w:val="033C5388"/>
    <w:rsid w:val="038068C0"/>
    <w:rsid w:val="05271CE3"/>
    <w:rsid w:val="06AB1E0B"/>
    <w:rsid w:val="06EC78A0"/>
    <w:rsid w:val="0B385885"/>
    <w:rsid w:val="12CC1DBF"/>
    <w:rsid w:val="13996DAC"/>
    <w:rsid w:val="13E97A8B"/>
    <w:rsid w:val="13EE7E6C"/>
    <w:rsid w:val="16EF04BD"/>
    <w:rsid w:val="1AFE1664"/>
    <w:rsid w:val="1CC35F44"/>
    <w:rsid w:val="1CE4719A"/>
    <w:rsid w:val="206029C1"/>
    <w:rsid w:val="20B7141E"/>
    <w:rsid w:val="22220DE5"/>
    <w:rsid w:val="22C713AB"/>
    <w:rsid w:val="22F43A1F"/>
    <w:rsid w:val="24B730FC"/>
    <w:rsid w:val="2805210F"/>
    <w:rsid w:val="28576CEA"/>
    <w:rsid w:val="297325AA"/>
    <w:rsid w:val="2990140F"/>
    <w:rsid w:val="2E8E6608"/>
    <w:rsid w:val="305E6EAB"/>
    <w:rsid w:val="31B006DA"/>
    <w:rsid w:val="33E617BD"/>
    <w:rsid w:val="34FC59D1"/>
    <w:rsid w:val="36125141"/>
    <w:rsid w:val="366D5496"/>
    <w:rsid w:val="36C45282"/>
    <w:rsid w:val="3E7C6B56"/>
    <w:rsid w:val="40966984"/>
    <w:rsid w:val="43063938"/>
    <w:rsid w:val="45E37C15"/>
    <w:rsid w:val="47CB3ECE"/>
    <w:rsid w:val="48161295"/>
    <w:rsid w:val="49687BBC"/>
    <w:rsid w:val="4BAD7DD3"/>
    <w:rsid w:val="4D411BCB"/>
    <w:rsid w:val="4E3665B4"/>
    <w:rsid w:val="532C00AA"/>
    <w:rsid w:val="534D6638"/>
    <w:rsid w:val="54ED5DAB"/>
    <w:rsid w:val="55FE7053"/>
    <w:rsid w:val="5A412134"/>
    <w:rsid w:val="60231B89"/>
    <w:rsid w:val="61DE16F5"/>
    <w:rsid w:val="65D26704"/>
    <w:rsid w:val="698D1AEB"/>
    <w:rsid w:val="6BA84C7A"/>
    <w:rsid w:val="7048218F"/>
    <w:rsid w:val="70C15D8C"/>
    <w:rsid w:val="73C06E35"/>
    <w:rsid w:val="74F94E64"/>
    <w:rsid w:val="75911362"/>
    <w:rsid w:val="75DE6045"/>
    <w:rsid w:val="77724C80"/>
    <w:rsid w:val="78612E89"/>
    <w:rsid w:val="78DB4966"/>
    <w:rsid w:val="7A0A71CB"/>
    <w:rsid w:val="7B4C1F62"/>
    <w:rsid w:val="7B9D6F7B"/>
    <w:rsid w:val="7CA73254"/>
    <w:rsid w:val="7DF87568"/>
    <w:rsid w:val="7E557B7C"/>
    <w:rsid w:val="7E68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paragraph" w:customStyle="1" w:styleId="21">
    <w:name w:val="样式2"/>
    <w:basedOn w:val="1"/>
    <w:qFormat/>
    <w:uiPriority w:val="0"/>
    <w:pPr>
      <w:spacing w:line="360" w:lineRule="auto"/>
      <w:ind w:firstLine="482" w:firstLineChars="200"/>
    </w:pPr>
    <w:rPr>
      <w:rFonts w:ascii="Times New Roman" w:hAnsi="Times New Roman" w:eastAsia="宋体"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2025-11-24T07:38:49Z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