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采购需求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一、威海市立医院防雷检测内容</w:t>
      </w:r>
    </w:p>
    <w:tbl>
      <w:tblPr>
        <w:tblStyle w:val="5"/>
        <w:tblW w:w="7410" w:type="dxa"/>
        <w:jc w:val="center"/>
        <w:tblInd w:w="4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50"/>
        <w:gridCol w:w="1485"/>
        <w:gridCol w:w="945"/>
        <w:gridCol w:w="1065"/>
        <w:gridCol w:w="1170"/>
        <w:gridCol w:w="9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建筑面积/㎡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楼层/层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电梯/部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大型医疗设备/台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和平路院区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24160.95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7115.63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杏花村院区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西小楼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田村院区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6139.9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临港院区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和平路院区和临港院区液氧罐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2次/年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36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 GB/T 21431-2023《建筑物雷电防护装置检测技术规范》对建筑物的防雷装置进行检测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执行的技术规范主要有：GB50057—2010《建筑物防雷设计规范》、GB55024-2022《建筑电气与智能化通用规范》 和 GB/T 21431-2023《建筑物防雷装置检测技术规范》等相关规范。GB/T 32938-2016​《防雷装置检测服务规范》​GB/T 32937-2016​《爆炸和火灾危险场所防雷装置检测技术规范》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出具《存在问题意见书》，明确问题描述和整改建议，采购人完成整改，整改后复检，确保防雷系统符合要求。复检费用包含在本次报价中。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防雷安全性检测后出具检测报告，液氧罐有效期半年，其余检测有效期一年。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中标人严格遵守检测规范和安全生产有关要求，对发生的不良事件或安全问题，承担所有责任。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三、服务期：3年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付款方式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银行承兑等。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服务商服务完毕，经采购人主管部门确定履约合格后180日内，根据采购人付款流程，将该次合同款一次性付清。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成交服务商必须在规定的时间内提供本单位税务发票。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84"/>
          <w:szCs w:val="84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威海市立医院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48"/>
          <w:szCs w:val="52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防雷检测服务项目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编号（2025</w:t>
      </w:r>
      <w:r>
        <w:rPr>
          <w:rFonts w:hint="eastAsia" w:ascii="黑体" w:hAnsi="宋体" w:eastAsia="黑体"/>
          <w:sz w:val="48"/>
          <w:szCs w:val="52"/>
          <w:highlight w:val="none"/>
          <w:lang w:val="en-US" w:eastAsia="zh-CN"/>
        </w:rPr>
        <w:t>11-4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）</w:t>
      </w: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p/>
    <w:tbl>
      <w:tblPr>
        <w:tblStyle w:val="6"/>
        <w:tblW w:w="9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4414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威海市立医院防雷检测服务项目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服务费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3100" w:type="dxa"/>
            <w:vMerge w:val="continue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小写：</w:t>
            </w:r>
          </w:p>
          <w:p>
            <w:pPr>
              <w:pStyle w:val="2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大写：</w:t>
            </w:r>
          </w:p>
        </w:tc>
        <w:tc>
          <w:tcPr>
            <w:tcW w:w="1906" w:type="dxa"/>
            <w:vAlign w:val="center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420" w:type="dxa"/>
            <w:gridSpan w:val="3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备注：</w:t>
            </w:r>
          </w:p>
        </w:tc>
      </w:tr>
    </w:tbl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hint="default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keepNext/>
        <w:keepLines/>
        <w:widowControl w:val="0"/>
        <w:spacing w:before="100" w:beforeAutospacing="1" w:after="100" w:afterAutospacing="1" w:line="240" w:lineRule="auto"/>
        <w:jc w:val="left"/>
        <w:outlineLvl w:val="0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pStyle w:val="2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keepNext/>
        <w:keepLines/>
        <w:widowControl w:val="0"/>
        <w:spacing w:before="100" w:beforeAutospacing="1" w:after="100" w:afterAutospacing="1" w:line="240" w:lineRule="auto"/>
        <w:jc w:val="left"/>
        <w:outlineLvl w:val="0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pStyle w:val="2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pStyle w:val="2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威海市立医院采购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5"/>
        <w:tblW w:w="10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威海市立医院防雷检测服务项目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8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材料真实性及购销廉洁声明</w:t>
      </w: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92684"/>
    <w:rsid w:val="07B92684"/>
    <w:rsid w:val="19DD29E6"/>
    <w:rsid w:val="1D7A6D62"/>
    <w:rsid w:val="3EFE3675"/>
    <w:rsid w:val="7D5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2025-11-14T07:46:00Z</dcterms:created>
  <dc:creator>樊晓磊</dc:creator>
  <cp:lastModifiedBy>樊晓磊</cp:lastModifiedBy>
  <dcterms:modified xsi:type="dcterms:W3CDTF">2025-11-17T03:27:11Z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