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打造专家个人IP（202509-8）材料目录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7"/>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7"/>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5、项目名称、、供应商名称、联系人姓名及联系方式、邮箱等信息。</w:t>
      </w:r>
    </w:p>
    <w:p>
      <w:pPr>
        <w:pStyle w:val="17"/>
        <w:numPr>
          <w:ilvl w:val="0"/>
          <w:numId w:val="0"/>
        </w:numPr>
        <w:ind w:leftChars="0" w:firstLine="480" w:firstLineChars="200"/>
        <w:rPr>
          <w:rFonts w:hint="eastAsia"/>
          <w:sz w:val="24"/>
          <w:szCs w:val="24"/>
          <w:lang w:eastAsia="zh-CN"/>
        </w:rPr>
      </w:pPr>
      <w:r>
        <w:rPr>
          <w:rFonts w:hint="eastAsia"/>
          <w:sz w:val="24"/>
          <w:szCs w:val="24"/>
          <w:lang w:val="en-US" w:eastAsia="zh-CN"/>
        </w:rPr>
        <w:t>6、项目服务内容、人员配备、项目服务设计方案等</w:t>
      </w:r>
      <w:r>
        <w:rPr>
          <w:rFonts w:hint="eastAsia"/>
          <w:sz w:val="24"/>
          <w:szCs w:val="24"/>
          <w:lang w:eastAsia="zh-CN"/>
        </w:rPr>
        <w:t>。</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7"/>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theme="minorBidi"/>
          <w:b/>
          <w:kern w:val="2"/>
          <w:sz w:val="28"/>
          <w:szCs w:val="28"/>
          <w:lang w:val="en-US" w:eastAsia="zh-CN" w:bidi="ar-SA"/>
        </w:rPr>
        <w:t xml:space="preserve">   12、</w:t>
      </w:r>
      <w:r>
        <w:rPr>
          <w:rFonts w:hint="eastAsia" w:ascii="宋体" w:hAnsi="宋体" w:eastAsia="宋体" w:cs="宋体"/>
          <w:b/>
          <w:bCs/>
          <w:i w:val="0"/>
          <w:iCs w:val="0"/>
          <w:color w:val="auto"/>
          <w:kern w:val="0"/>
          <w:sz w:val="28"/>
          <w:szCs w:val="28"/>
          <w:u w:val="none"/>
          <w:lang w:val="en-US" w:eastAsia="zh-CN" w:bidi="ar"/>
        </w:rPr>
        <w:t>技术参数及服务要求</w:t>
      </w:r>
    </w:p>
    <w:p>
      <w:pPr>
        <w:pStyle w:val="2"/>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w:t>
      </w:r>
      <w:r>
        <w:rPr>
          <w:rFonts w:hint="eastAsia" w:ascii="宋体" w:hAnsi="宋体" w:eastAsia="宋体" w:cs="宋体"/>
          <w:sz w:val="28"/>
          <w:szCs w:val="36"/>
          <w:lang w:eastAsia="zh-CN"/>
        </w:rPr>
        <w:t>服务内容及交付数量：</w:t>
      </w:r>
    </w:p>
    <w:tbl>
      <w:tblPr>
        <w:tblStyle w:val="10"/>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1237"/>
        <w:gridCol w:w="538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5389" w:type="dxa"/>
            <w:noWrap w:val="0"/>
            <w:vAlign w:val="center"/>
          </w:tcPr>
          <w:p>
            <w:pPr>
              <w:pStyle w:val="4"/>
              <w:snapToGrid w:val="0"/>
              <w:spacing w:line="500" w:lineRule="exact"/>
              <w:ind w:firstLine="482" w:firstLineChars="200"/>
              <w:jc w:val="center"/>
              <w:rPr>
                <w:rFonts w:hint="eastAsia" w:ascii="宋体" w:hAnsi="宋体" w:eastAsia="宋体" w:cs="宋体"/>
                <w:b/>
                <w:sz w:val="24"/>
                <w:szCs w:val="24"/>
                <w:lang w:val="en-US" w:eastAsia="zh-CN"/>
              </w:rPr>
            </w:pPr>
            <w:r>
              <w:rPr>
                <w:rFonts w:hint="eastAsia" w:ascii="宋体" w:hAnsi="宋体" w:eastAsia="宋体" w:cs="宋体"/>
                <w:b/>
                <w:bCs/>
                <w:sz w:val="24"/>
                <w:szCs w:val="24"/>
                <w:lang w:val="en-US" w:eastAsia="zh-CN"/>
              </w:rPr>
              <w:t>服务内容</w:t>
            </w:r>
          </w:p>
        </w:tc>
        <w:tc>
          <w:tcPr>
            <w:tcW w:w="1800"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交付数量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方案规划</w:t>
            </w:r>
          </w:p>
        </w:tc>
        <w:tc>
          <w:tcPr>
            <w:tcW w:w="5389" w:type="dxa"/>
            <w:noWrap w:val="0"/>
            <w:vAlign w:val="center"/>
          </w:tcPr>
          <w:p>
            <w:pPr>
              <w:pStyle w:val="4"/>
              <w:snapToGrid w:val="0"/>
              <w:spacing w:line="5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对于推广科室的调研，进行有针对性的方案策略</w:t>
            </w:r>
          </w:p>
        </w:tc>
        <w:tc>
          <w:tcPr>
            <w:tcW w:w="1800"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一套推广方案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1505" w:hRule="atLeast"/>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线上品牌形象设计</w:t>
            </w:r>
          </w:p>
        </w:tc>
        <w:tc>
          <w:tcPr>
            <w:tcW w:w="5389"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“抖音+快手+小红书+视频号”主流平台账号搭建+页面设计</w:t>
            </w:r>
          </w:p>
        </w:tc>
        <w:tc>
          <w:tcPr>
            <w:tcW w:w="1800"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平台注册及</w:t>
            </w:r>
          </w:p>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头像背景图、</w:t>
            </w:r>
          </w:p>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个人简介设计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视频制作及宣发</w:t>
            </w:r>
          </w:p>
        </w:tc>
        <w:tc>
          <w:tcPr>
            <w:tcW w:w="5389" w:type="dxa"/>
            <w:noWrap w:val="0"/>
            <w:vAlign w:val="center"/>
          </w:tcPr>
          <w:p>
            <w:pPr>
              <w:pStyle w:val="4"/>
              <w:snapToGrid w:val="0"/>
              <w:spacing w:line="5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抖音、快手、小红书、视频号的四大平台短视频内容策划+拍摄+剪辑+宣发+维护</w:t>
            </w:r>
          </w:p>
        </w:tc>
        <w:tc>
          <w:tcPr>
            <w:tcW w:w="1800" w:type="dxa"/>
            <w:noWrap w:val="0"/>
            <w:vAlign w:val="center"/>
          </w:tcPr>
          <w:p>
            <w:pPr>
              <w:pStyle w:val="4"/>
              <w:snapToGrid w:val="0"/>
              <w:spacing w:line="5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每周3条视频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项目陪跑</w:t>
            </w:r>
          </w:p>
        </w:tc>
        <w:tc>
          <w:tcPr>
            <w:tcW w:w="5389"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一对一辅导主账号医生完成自媒体全域运营的思维建设+短视频拍摄+视频剪辑+计划宣发</w:t>
            </w:r>
          </w:p>
        </w:tc>
        <w:tc>
          <w:tcPr>
            <w:tcW w:w="1800"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实战培训</w:t>
            </w:r>
          </w:p>
        </w:tc>
        <w:tc>
          <w:tcPr>
            <w:tcW w:w="5389"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提供小班自媒体培训学习，建群课后作业和针对性线上答疑</w:t>
            </w:r>
          </w:p>
        </w:tc>
        <w:tc>
          <w:tcPr>
            <w:tcW w:w="1800"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每月2次</w:t>
            </w:r>
          </w:p>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每次1小时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37" w:type="dxa"/>
            <w:noWrap w:val="0"/>
            <w:vAlign w:val="center"/>
          </w:tcPr>
          <w:p>
            <w:pPr>
              <w:pStyle w:val="4"/>
              <w:snapToGrid w:val="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质量保障</w:t>
            </w:r>
          </w:p>
        </w:tc>
        <w:tc>
          <w:tcPr>
            <w:tcW w:w="5389"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抖音、快手、小红书、视频号，每个平台每周3条视频更新</w:t>
            </w:r>
          </w:p>
        </w:tc>
        <w:tc>
          <w:tcPr>
            <w:tcW w:w="1800" w:type="dxa"/>
            <w:noWrap w:val="0"/>
            <w:vAlign w:val="center"/>
          </w:tcPr>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每月全域</w:t>
            </w:r>
          </w:p>
          <w:p>
            <w:pPr>
              <w:pStyle w:val="4"/>
              <w:snapToGrid w:val="0"/>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曝光量20w+</w:t>
            </w: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（二）受众群体：社会群众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（三）制作要求：根据医生及科室时间全程实景拍摄。</w:t>
      </w:r>
    </w:p>
    <w:p>
      <w:pPr>
        <w:pStyle w:val="2"/>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（四）团队要求：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供应商应具备策划、拍摄、剪辑、运维的人员力量，并有服务于其他医院项目的已实施案例。项目核心实施人员一经采购人确认，如无特殊情况不得更改。</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（五）其他：</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1.供应商需自行创作视频的总体思路、框架大纲、分镜头脚本、制作计划等。视频要有创意、亮点，能充分体现、发挥项目优势。</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需自行完成勘景、创意策划、拍摄和制作工作，不得在未经采购人同意的情况下分包、转包给第三方。供应商在履约过程中，应尽安全防范义务，如因供应商或供应商工作人员原因导致采购人、供应商或第三人人身、财产损害的，一切责任应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方对其提供影像产品和服务的合法性负责，保证其对提供的图像视频拥有合法的使用权，保证采购人在使用时无需再行获得第三方的许可，无需向第三方支付任何报酬或费用。如因供应商提供的影像产品或服务的知识产权引起与第三方的纠纷，由供应商负责处理，并承担全部法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sz w:val="24"/>
          <w:szCs w:val="24"/>
          <w:lang w:val="en-US" w:eastAsia="zh-CN"/>
        </w:rPr>
        <w:t>4.本科室相关人员培训不再另行收取费用。</w:t>
      </w:r>
      <w:r>
        <w:rPr>
          <w:rFonts w:hint="eastAsia" w:ascii="宋体" w:hAnsi="宋体" w:eastAsia="宋体" w:cs="宋体"/>
          <w:b w:val="0"/>
          <w:bCs w:val="0"/>
          <w:i w:val="0"/>
          <w:iCs w:val="0"/>
          <w:color w:val="auto"/>
          <w:kern w:val="0"/>
          <w:sz w:val="24"/>
          <w:szCs w:val="24"/>
          <w:u w:val="none"/>
          <w:lang w:val="en-US" w:eastAsia="zh-CN" w:bidi="ar"/>
        </w:rPr>
        <w:t> </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rPr>
          <w:rFonts w:hint="default"/>
          <w:sz w:val="24"/>
          <w:szCs w:val="24"/>
          <w:lang w:val="en-US" w:eastAsia="zh-CN"/>
        </w:rPr>
      </w:pPr>
      <w:r>
        <w:rPr>
          <w:rFonts w:hint="eastAsia" w:ascii="宋体" w:hAnsi="宋体" w:eastAsia="宋体" w:cs="宋体"/>
          <w:b/>
          <w:bCs/>
          <w:i w:val="0"/>
          <w:iCs w:val="0"/>
          <w:color w:val="auto"/>
          <w:kern w:val="0"/>
          <w:sz w:val="24"/>
          <w:szCs w:val="24"/>
          <w:u w:val="none"/>
          <w:lang w:val="en-US" w:eastAsia="zh-CN" w:bidi="ar"/>
        </w:rPr>
        <w:t>（六） 备注：</w:t>
      </w:r>
      <w:r>
        <w:rPr>
          <w:rFonts w:hint="eastAsia" w:ascii="宋体" w:hAnsi="宋体" w:eastAsia="宋体" w:cs="宋体"/>
          <w:b w:val="0"/>
          <w:bCs w:val="0"/>
          <w:i w:val="0"/>
          <w:iCs w:val="0"/>
          <w:color w:val="auto"/>
          <w:kern w:val="0"/>
          <w:sz w:val="24"/>
          <w:szCs w:val="24"/>
          <w:u w:val="none"/>
          <w:lang w:val="en-US" w:eastAsia="zh-CN" w:bidi="ar"/>
        </w:rPr>
        <w:t>本项目说明中所提出的参数和标准仅系说明并非进行限制，供应商可提出替代的参数和标准，并在技术文件中详细说明，但该替代应不低于本文件的规定和要求（本报价包含产品费用、设计费、制作费</w:t>
      </w:r>
      <w:bookmarkStart w:id="2" w:name="_GoBack"/>
      <w:bookmarkEnd w:id="2"/>
      <w:r>
        <w:rPr>
          <w:rFonts w:hint="eastAsia" w:ascii="宋体" w:hAnsi="宋体" w:eastAsia="宋体" w:cs="宋体"/>
          <w:b w:val="0"/>
          <w:bCs w:val="0"/>
          <w:i w:val="0"/>
          <w:iCs w:val="0"/>
          <w:color w:val="auto"/>
          <w:kern w:val="0"/>
          <w:sz w:val="24"/>
          <w:szCs w:val="24"/>
          <w:u w:val="none"/>
          <w:lang w:val="en-US" w:eastAsia="zh-CN" w:bidi="ar"/>
        </w:rPr>
        <w:t>、税费等所有费用）。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7"/>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lang w:val="en-US" w:eastAsia="zh-CN"/>
        </w:rPr>
      </w:pPr>
      <w:r>
        <w:rPr>
          <w:rFonts w:hint="eastAsia" w:ascii="黑体" w:hAnsi="宋体" w:eastAsia="黑体"/>
          <w:sz w:val="48"/>
          <w:szCs w:val="52"/>
          <w:lang w:val="en-US" w:eastAsia="zh-CN"/>
        </w:rPr>
        <w:t>打造专家个人IP</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编号（202509-8）</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3049"/>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r>
              <w:rPr>
                <w:rFonts w:hint="eastAsia" w:ascii="黑体" w:hAnsi="Calibri" w:eastAsia="黑体" w:cs="Times New Roman"/>
                <w:b/>
                <w:bCs/>
                <w:kern w:val="44"/>
                <w:sz w:val="36"/>
                <w:szCs w:val="44"/>
                <w:vertAlign w:val="baseline"/>
                <w:lang w:val="en-US" w:eastAsia="zh-CN" w:bidi="ar-SA"/>
              </w:rPr>
              <w:t>项目名称</w:t>
            </w:r>
          </w:p>
        </w:tc>
        <w:tc>
          <w:tcPr>
            <w:tcW w:w="3049" w:type="dxa"/>
          </w:tcPr>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r>
              <w:rPr>
                <w:rFonts w:hint="eastAsia" w:ascii="黑体" w:hAnsi="Calibri" w:eastAsia="黑体" w:cs="Times New Roman"/>
                <w:b/>
                <w:bCs/>
                <w:kern w:val="44"/>
                <w:sz w:val="36"/>
                <w:szCs w:val="44"/>
                <w:vertAlign w:val="baseline"/>
                <w:lang w:val="en-US" w:eastAsia="zh-CN" w:bidi="ar-SA"/>
              </w:rPr>
              <w:t>报价</w:t>
            </w:r>
          </w:p>
        </w:tc>
        <w:tc>
          <w:tcPr>
            <w:tcW w:w="3049" w:type="dxa"/>
          </w:tcPr>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r>
              <w:rPr>
                <w:rFonts w:hint="eastAsia" w:ascii="黑体" w:hAnsi="Calibri" w:eastAsia="黑体" w:cs="Times New Roman"/>
                <w:b/>
                <w:bCs/>
                <w:kern w:val="44"/>
                <w:sz w:val="36"/>
                <w:szCs w:val="4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32"/>
                <w:szCs w:val="32"/>
                <w:lang w:val="en-US" w:eastAsia="zh-CN"/>
              </w:rPr>
            </w:pPr>
            <w:r>
              <w:rPr>
                <w:rFonts w:hint="eastAsia" w:ascii="黑体" w:hAnsi="宋体" w:eastAsia="黑体"/>
                <w:sz w:val="32"/>
                <w:szCs w:val="32"/>
                <w:lang w:val="en-US" w:eastAsia="zh-CN"/>
              </w:rPr>
              <w:t>打造专家个人IP</w:t>
            </w:r>
          </w:p>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p>
        </w:tc>
        <w:tc>
          <w:tcPr>
            <w:tcW w:w="3049" w:type="dxa"/>
          </w:tcPr>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p>
        </w:tc>
        <w:tc>
          <w:tcPr>
            <w:tcW w:w="3049" w:type="dxa"/>
          </w:tcPr>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6" w:type="dxa"/>
            <w:gridSpan w:val="3"/>
          </w:tcPr>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vertAlign w:val="baseline"/>
                <w:lang w:val="en-US" w:eastAsia="zh-CN" w:bidi="ar-SA"/>
              </w:rPr>
            </w:pPr>
            <w:r>
              <w:rPr>
                <w:rFonts w:hint="eastAsia" w:ascii="黑体" w:hAnsi="Calibri" w:eastAsia="黑体" w:cs="Times New Roman"/>
                <w:b/>
                <w:bCs/>
                <w:kern w:val="44"/>
                <w:sz w:val="36"/>
                <w:szCs w:val="44"/>
                <w:vertAlign w:val="baseline"/>
                <w:lang w:val="en-US" w:eastAsia="zh-CN" w:bidi="ar-SA"/>
              </w:rPr>
              <w:t>本报价包含服务费、培训费、税费等所有费用</w:t>
            </w: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黑体" w:hAnsi="宋体" w:eastAsia="黑体"/>
                <w:sz w:val="32"/>
                <w:szCs w:val="32"/>
                <w:lang w:val="en-US" w:eastAsia="zh-CN"/>
              </w:rPr>
              <w:t>打造专家个人IP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7"/>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7"/>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7"/>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7"/>
              <w:adjustRightInd w:val="0"/>
              <w:spacing w:line="360" w:lineRule="exact"/>
              <w:ind w:firstLine="560"/>
              <w:contextualSpacing/>
              <w:rPr>
                <w:rFonts w:ascii="方正仿宋_GBK" w:eastAsia="方正仿宋_GBK"/>
                <w:sz w:val="28"/>
              </w:rPr>
            </w:pPr>
          </w:p>
          <w:p>
            <w:pPr>
              <w:pStyle w:val="17"/>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7"/>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7"/>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7"/>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7"/>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tbl>
      <w:tblPr>
        <w:tblStyle w:val="9"/>
        <w:tblW w:w="9196"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7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7117" w:type="dxa"/>
            <w:tcBorders>
              <w:right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7117"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30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lang w:val="en-US" w:eastAsia="zh-CN"/>
              </w:rPr>
              <w:t>服务方案40</w:t>
            </w:r>
            <w:r>
              <w:rPr>
                <w:rFonts w:hint="eastAsia" w:ascii="宋体" w:hAnsi="宋体" w:cs="仿宋_GB2312"/>
                <w:szCs w:val="21"/>
              </w:rPr>
              <w:t>分</w:t>
            </w:r>
          </w:p>
        </w:tc>
        <w:tc>
          <w:tcPr>
            <w:tcW w:w="7117" w:type="dxa"/>
            <w:tcBorders>
              <w:right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w:t>
            </w:r>
            <w:r>
              <w:rPr>
                <w:rFonts w:hint="eastAsia"/>
                <w:lang w:val="en-US" w:eastAsia="zh-CN"/>
              </w:rPr>
              <w:t>40</w:t>
            </w:r>
            <w:r>
              <w:rPr>
                <w:rFonts w:hint="eastAsia"/>
              </w:rPr>
              <w:t>分-</w:t>
            </w:r>
            <w:r>
              <w:rPr>
                <w:rFonts w:hint="eastAsia"/>
                <w:lang w:val="en-US" w:eastAsia="zh-CN"/>
              </w:rPr>
              <w:t>27</w:t>
            </w:r>
            <w:r>
              <w:rPr>
                <w:rFonts w:hint="eastAsia"/>
              </w:rPr>
              <w:t>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w:t>
            </w:r>
            <w:r>
              <w:rPr>
                <w:rFonts w:hint="eastAsia"/>
                <w:lang w:val="en-US" w:eastAsia="zh-CN"/>
              </w:rPr>
              <w:t>26</w:t>
            </w:r>
            <w:r>
              <w:rPr>
                <w:rFonts w:hint="eastAsia"/>
              </w:rPr>
              <w:t>分-</w:t>
            </w:r>
            <w:r>
              <w:rPr>
                <w:rFonts w:hint="eastAsia"/>
                <w:lang w:val="en-US" w:eastAsia="zh-CN"/>
              </w:rPr>
              <w:t>13</w:t>
            </w:r>
            <w:r>
              <w:rPr>
                <w:rFonts w:hint="eastAsia"/>
              </w:rPr>
              <w:t>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w:t>
            </w:r>
            <w:r>
              <w:rPr>
                <w:rFonts w:hint="eastAsia"/>
                <w:lang w:val="en-US" w:eastAsia="zh-CN"/>
              </w:rPr>
              <w:t>12</w:t>
            </w:r>
            <w:r>
              <w:rPr>
                <w:rFonts w:hint="eastAsia"/>
              </w:rPr>
              <w:t>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20</w:t>
            </w:r>
            <w:r>
              <w:rPr>
                <w:rFonts w:hint="eastAsia" w:ascii="宋体" w:hAnsi="宋体" w:cs="仿宋_GB2312"/>
                <w:szCs w:val="21"/>
              </w:rPr>
              <w:t>分</w:t>
            </w:r>
          </w:p>
        </w:tc>
        <w:tc>
          <w:tcPr>
            <w:tcW w:w="7117"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20</w:t>
            </w:r>
            <w:r>
              <w:rPr>
                <w:rFonts w:hint="eastAsia" w:ascii="宋体" w:hAnsi="宋体" w:cs="仿宋_GB2312"/>
                <w:szCs w:val="21"/>
              </w:rPr>
              <w:t>分-</w:t>
            </w:r>
            <w:r>
              <w:rPr>
                <w:rFonts w:hint="eastAsia" w:ascii="宋体" w:hAnsi="宋体" w:cs="仿宋_GB2312"/>
                <w:szCs w:val="21"/>
                <w:lang w:val="en-US" w:eastAsia="zh-CN"/>
              </w:rPr>
              <w:t>14</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13</w:t>
            </w:r>
            <w:r>
              <w:rPr>
                <w:rFonts w:hint="eastAsia" w:ascii="宋体" w:hAnsi="宋体" w:cs="仿宋_GB2312"/>
                <w:szCs w:val="21"/>
              </w:rPr>
              <w:t>分-</w:t>
            </w:r>
            <w:r>
              <w:rPr>
                <w:rFonts w:hint="eastAsia" w:ascii="宋体" w:hAnsi="宋体" w:cs="仿宋_GB2312"/>
                <w:szCs w:val="21"/>
                <w:lang w:val="en-US" w:eastAsia="zh-CN"/>
              </w:rPr>
              <w:t>6</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5</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10分</w:t>
            </w:r>
          </w:p>
        </w:tc>
        <w:tc>
          <w:tcPr>
            <w:tcW w:w="7117" w:type="dxa"/>
            <w:tcBorders>
              <w:right w:val="single" w:color="auto" w:sz="4" w:space="0"/>
            </w:tcBorders>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自2022年1月1日至今（以合同签订时间或发票显示时间为准），每提供一份与所报产品同品牌规格型号供货业绩的，得2分；本项最高得10分。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widowControl/>
        <w:adjustRightInd w:val="0"/>
        <w:spacing w:before="160" w:after="160"/>
        <w:contextualSpacing/>
        <w:jc w:val="left"/>
        <w:rPr>
          <w:rFonts w:ascii="宋体" w:hAnsi="宋体" w:eastAsia="宋体"/>
          <w:bCs/>
          <w:szCs w:val="21"/>
        </w:rPr>
      </w:pPr>
    </w:p>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9DAE8A-F0E6-46EF-AE47-1A5EA35F61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F8D1EB-0DC8-4493-A86A-AA3A64CA1CC3}"/>
  </w:font>
  <w:font w:name="方正仿宋_GBK">
    <w:altName w:val="微软雅黑"/>
    <w:panose1 w:val="03000509000000000000"/>
    <w:charset w:val="86"/>
    <w:family w:val="script"/>
    <w:pitch w:val="default"/>
    <w:sig w:usb0="00000000" w:usb1="00000000" w:usb2="00000000" w:usb3="00000000" w:csb0="00040000" w:csb1="00000000"/>
    <w:embedRegular r:id="rId3" w:fontKey="{163DA5A1-F564-4D85-94C9-FBC68093F56D}"/>
  </w:font>
  <w:font w:name="方正小标宋_GBK">
    <w:panose1 w:val="03000509000000000000"/>
    <w:charset w:val="86"/>
    <w:family w:val="script"/>
    <w:pitch w:val="default"/>
    <w:sig w:usb0="00000001" w:usb1="080E0000" w:usb2="00000000" w:usb3="00000000" w:csb0="00040000" w:csb1="00000000"/>
    <w:embedRegular r:id="rId4" w:fontKey="{443BDFD0-A134-452D-8B63-F33B619D21F8}"/>
  </w:font>
  <w:font w:name="仿宋_GB2312">
    <w:panose1 w:val="02010609030101010101"/>
    <w:charset w:val="86"/>
    <w:family w:val="modern"/>
    <w:pitch w:val="default"/>
    <w:sig w:usb0="00000001" w:usb1="080E0000" w:usb2="00000000" w:usb3="00000000" w:csb0="00040000" w:csb1="00000000"/>
    <w:embedRegular r:id="rId5" w:fontKey="{072B7251-C0DB-410B-92C5-283571B7CDC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E6F445D"/>
    <w:rsid w:val="0F97167D"/>
    <w:rsid w:val="12585FEE"/>
    <w:rsid w:val="137F534D"/>
    <w:rsid w:val="13E97A8B"/>
    <w:rsid w:val="13EE7E6C"/>
    <w:rsid w:val="16EF04BD"/>
    <w:rsid w:val="1AF2758F"/>
    <w:rsid w:val="1AFE1664"/>
    <w:rsid w:val="1CC35F44"/>
    <w:rsid w:val="1CE4719A"/>
    <w:rsid w:val="206029C1"/>
    <w:rsid w:val="20B7141E"/>
    <w:rsid w:val="221A160C"/>
    <w:rsid w:val="22220DE5"/>
    <w:rsid w:val="225549F1"/>
    <w:rsid w:val="22C713AB"/>
    <w:rsid w:val="22F43A1F"/>
    <w:rsid w:val="24B730FC"/>
    <w:rsid w:val="2805210F"/>
    <w:rsid w:val="28576CEA"/>
    <w:rsid w:val="297325AA"/>
    <w:rsid w:val="2990140F"/>
    <w:rsid w:val="2D0359EE"/>
    <w:rsid w:val="2D216A3C"/>
    <w:rsid w:val="2E8E6608"/>
    <w:rsid w:val="31B006DA"/>
    <w:rsid w:val="33E617BD"/>
    <w:rsid w:val="34FC59D1"/>
    <w:rsid w:val="36125141"/>
    <w:rsid w:val="366D5496"/>
    <w:rsid w:val="3CF44D14"/>
    <w:rsid w:val="3E7C6B56"/>
    <w:rsid w:val="40966984"/>
    <w:rsid w:val="43063938"/>
    <w:rsid w:val="43BC6700"/>
    <w:rsid w:val="45E37C15"/>
    <w:rsid w:val="47CB3ECE"/>
    <w:rsid w:val="48161295"/>
    <w:rsid w:val="49687BBC"/>
    <w:rsid w:val="4BAD7DD3"/>
    <w:rsid w:val="4D411BCB"/>
    <w:rsid w:val="518065BB"/>
    <w:rsid w:val="532C00AA"/>
    <w:rsid w:val="534D6638"/>
    <w:rsid w:val="54ED5DAB"/>
    <w:rsid w:val="5573450E"/>
    <w:rsid w:val="55D954BE"/>
    <w:rsid w:val="55FE7053"/>
    <w:rsid w:val="5B876071"/>
    <w:rsid w:val="5B9571D0"/>
    <w:rsid w:val="61DE16F5"/>
    <w:rsid w:val="65D26704"/>
    <w:rsid w:val="698D1AEB"/>
    <w:rsid w:val="6BA84C7A"/>
    <w:rsid w:val="6DA0228F"/>
    <w:rsid w:val="7048218F"/>
    <w:rsid w:val="70C15D8C"/>
    <w:rsid w:val="73C06E35"/>
    <w:rsid w:val="74F94E64"/>
    <w:rsid w:val="75382466"/>
    <w:rsid w:val="759624FB"/>
    <w:rsid w:val="75DE6045"/>
    <w:rsid w:val="77724C80"/>
    <w:rsid w:val="78612E89"/>
    <w:rsid w:val="78DB4966"/>
    <w:rsid w:val="7A083343"/>
    <w:rsid w:val="7A0A71CB"/>
    <w:rsid w:val="7B4C1F62"/>
    <w:rsid w:val="7B9D6F7B"/>
    <w:rsid w:val="7CA73254"/>
    <w:rsid w:val="7E557B7C"/>
    <w:rsid w:val="7FEF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Emphasis"/>
    <w:basedOn w:val="11"/>
    <w:qFormat/>
    <w:uiPriority w:val="2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1"/>
    <w:unhideWhenUsed/>
    <w:qFormat/>
    <w:uiPriority w:val="99"/>
    <w:rPr>
      <w:color w:val="808080"/>
      <w:shd w:val="clear" w:color="auto" w:fill="E6E6E6"/>
    </w:rPr>
  </w:style>
  <w:style w:type="character" w:customStyle="1" w:styleId="19">
    <w:name w:val="apple-converted-space"/>
    <w:basedOn w:val="11"/>
    <w:qFormat/>
    <w:uiPriority w:val="0"/>
  </w:style>
  <w:style w:type="character" w:customStyle="1" w:styleId="20">
    <w:name w:val="未处理的提及2"/>
    <w:basedOn w:val="11"/>
    <w:semiHidden/>
    <w:unhideWhenUsed/>
    <w:qFormat/>
    <w:uiPriority w:val="99"/>
    <w:rPr>
      <w:color w:val="808080"/>
      <w:shd w:val="clear" w:color="auto" w:fill="E6E6E6"/>
    </w:r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3</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2025-09-29T02:20:16Z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