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威海市立医院临港院区冷却塔等空调设备清洗项目（202506-1）</w:t>
      </w:r>
      <w:r>
        <w:rPr>
          <w:rFonts w:hint="eastAsia" w:ascii="宋体" w:hAnsi="宋体" w:eastAsia="宋体"/>
          <w:b/>
          <w:sz w:val="36"/>
          <w:szCs w:val="21"/>
        </w:rPr>
        <w:t>材料目录</w:t>
      </w:r>
    </w:p>
    <w:p>
      <w:pPr>
        <w:keepNext w:val="0"/>
        <w:keepLines w:val="0"/>
        <w:pageBreakBefore w:val="0"/>
        <w:widowControl w:val="0"/>
        <w:kinsoku/>
        <w:wordWrap/>
        <w:overflowPunct/>
        <w:topLinePunct w:val="0"/>
        <w:autoSpaceDE/>
        <w:autoSpaceDN/>
        <w:bidi w:val="0"/>
        <w:adjustRightInd w:val="0"/>
        <w:snapToGrid/>
        <w:spacing w:before="160" w:after="160" w:line="240" w:lineRule="auto"/>
        <w:ind w:firstLine="480" w:firstLineChars="200"/>
        <w:contextualSpacing/>
        <w:textAlignment w:val="auto"/>
        <w:rPr>
          <w:rFonts w:hint="eastAsia" w:ascii="宋体" w:hAnsi="宋体" w:eastAsia="宋体"/>
          <w:sz w:val="24"/>
          <w:szCs w:val="24"/>
        </w:rPr>
      </w:pPr>
      <w:r>
        <w:rPr>
          <w:rFonts w:hint="eastAsia" w:ascii="宋体" w:hAnsi="宋体" w:eastAsia="宋体"/>
          <w:sz w:val="24"/>
          <w:szCs w:val="24"/>
        </w:rPr>
        <w:t>欢迎生产企业、经营企业以及潜在供应商前来我院相关科室介绍产品，同时提交产品资料。有意向者必须提供符合我院要求的报名材料（</w:t>
      </w:r>
      <w:r>
        <w:rPr>
          <w:rFonts w:hint="eastAsia" w:ascii="宋体" w:hAnsi="宋体" w:eastAsia="宋体"/>
          <w:b/>
          <w:color w:val="FF0000"/>
          <w:sz w:val="24"/>
          <w:szCs w:val="24"/>
        </w:rPr>
        <w:t>纸质文件一份，</w:t>
      </w:r>
      <w:r>
        <w:rPr>
          <w:rFonts w:hint="eastAsia" w:ascii="宋体" w:hAnsi="宋体" w:eastAsia="宋体"/>
          <w:b/>
          <w:color w:val="FF0000"/>
          <w:sz w:val="24"/>
          <w:szCs w:val="24"/>
          <w:lang w:val="en-US" w:eastAsia="zh-CN"/>
        </w:rPr>
        <w:t>纸质文件的</w:t>
      </w:r>
      <w:r>
        <w:rPr>
          <w:rFonts w:hint="eastAsia" w:ascii="宋体" w:hAnsi="宋体" w:eastAsia="宋体"/>
          <w:b/>
          <w:color w:val="FF0000"/>
          <w:sz w:val="24"/>
          <w:szCs w:val="24"/>
        </w:rPr>
        <w:t>电子</w:t>
      </w:r>
      <w:r>
        <w:rPr>
          <w:rFonts w:hint="eastAsia" w:ascii="宋体" w:hAnsi="宋体" w:eastAsia="宋体"/>
          <w:b/>
          <w:color w:val="FF0000"/>
          <w:sz w:val="24"/>
          <w:szCs w:val="24"/>
          <w:lang w:val="en-US" w:eastAsia="zh-CN"/>
        </w:rPr>
        <w:t>版扫描件</w:t>
      </w:r>
      <w:r>
        <w:rPr>
          <w:rFonts w:hint="eastAsia" w:ascii="宋体" w:hAnsi="宋体" w:eastAsia="宋体"/>
          <w:b/>
          <w:color w:val="FF0000"/>
          <w:sz w:val="24"/>
          <w:szCs w:val="24"/>
        </w:rPr>
        <w:t>文件一份</w:t>
      </w:r>
      <w:r>
        <w:rPr>
          <w:rFonts w:hint="eastAsia" w:ascii="宋体" w:hAnsi="宋体" w:eastAsia="宋体"/>
          <w:b/>
          <w:color w:val="FF0000"/>
          <w:sz w:val="24"/>
          <w:szCs w:val="24"/>
          <w:lang w:eastAsia="zh-CN"/>
        </w:rPr>
        <w:t>，</w:t>
      </w:r>
      <w:r>
        <w:rPr>
          <w:rFonts w:hint="eastAsia" w:ascii="宋体" w:hAnsi="宋体" w:eastAsia="宋体"/>
          <w:b/>
          <w:color w:val="FF0000"/>
          <w:sz w:val="24"/>
          <w:szCs w:val="24"/>
          <w:lang w:val="en-US" w:eastAsia="zh-CN"/>
        </w:rPr>
        <w:t>电子文件报名时发邮箱whslyyzbb5208592@163.com</w:t>
      </w:r>
      <w:r>
        <w:rPr>
          <w:rFonts w:hint="eastAsia" w:ascii="宋体" w:hAnsi="宋体" w:eastAsia="宋体"/>
          <w:sz w:val="24"/>
          <w:szCs w:val="24"/>
        </w:rPr>
        <w:t>），并</w:t>
      </w:r>
      <w:r>
        <w:rPr>
          <w:rFonts w:hint="eastAsia" w:ascii="宋体" w:hAnsi="宋体" w:eastAsia="宋体"/>
          <w:b/>
          <w:color w:val="FF0000"/>
          <w:sz w:val="24"/>
          <w:szCs w:val="24"/>
        </w:rPr>
        <w:t>保证所提供的各种材料真实、有效、齐全，承担相应的法律责任。请按下列顺序装订</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spacing w:line="24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24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24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24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keepNext w:val="0"/>
        <w:keepLines w:val="0"/>
        <w:pageBreakBefore w:val="0"/>
        <w:widowControl w:val="0"/>
        <w:numPr>
          <w:ilvl w:val="0"/>
          <w:numId w:val="2"/>
        </w:numPr>
        <w:kinsoku/>
        <w:wordWrap/>
        <w:overflowPunct/>
        <w:topLinePunct w:val="0"/>
        <w:autoSpaceDE/>
        <w:autoSpaceDN/>
        <w:bidi w:val="0"/>
        <w:adjustRightInd w:val="0"/>
        <w:snapToGrid/>
        <w:spacing w:before="160" w:after="160" w:line="240" w:lineRule="auto"/>
        <w:ind w:firstLine="482" w:firstLineChars="200"/>
        <w:contextualSpacing/>
        <w:textAlignment w:val="auto"/>
        <w:rPr>
          <w:rFonts w:hint="eastAsia" w:ascii="宋体" w:hAnsi="宋体" w:eastAsia="宋体"/>
          <w:b/>
          <w:bCs w:val="0"/>
          <w:color w:val="auto"/>
          <w:sz w:val="24"/>
          <w:szCs w:val="24"/>
          <w:lang w:val="en-US" w:eastAsia="zh-CN"/>
        </w:rPr>
      </w:pPr>
      <w:r>
        <w:rPr>
          <w:rFonts w:hint="eastAsia" w:ascii="宋体" w:hAnsi="宋体" w:eastAsia="宋体"/>
          <w:b/>
          <w:bCs w:val="0"/>
          <w:color w:val="auto"/>
          <w:sz w:val="24"/>
          <w:szCs w:val="24"/>
          <w:lang w:val="en-US" w:eastAsia="zh-CN"/>
        </w:rPr>
        <w:t>纸质版材料装订顺序</w:t>
      </w:r>
    </w:p>
    <w:p>
      <w:pPr>
        <w:pStyle w:val="16"/>
        <w:keepNext w:val="0"/>
        <w:keepLines w:val="0"/>
        <w:pageBreakBefore w:val="0"/>
        <w:widowControl w:val="0"/>
        <w:numPr>
          <w:ilvl w:val="0"/>
          <w:numId w:val="3"/>
        </w:numPr>
        <w:kinsoku/>
        <w:wordWrap/>
        <w:overflowPunct/>
        <w:topLinePunct w:val="0"/>
        <w:autoSpaceDE/>
        <w:autoSpaceDN/>
        <w:bidi w:val="0"/>
        <w:snapToGrid/>
        <w:spacing w:line="240" w:lineRule="auto"/>
        <w:ind w:leftChars="0" w:firstLine="480" w:firstLineChars="200"/>
        <w:textAlignment w:val="auto"/>
        <w:rPr>
          <w:rFonts w:hint="eastAsia"/>
          <w:sz w:val="24"/>
          <w:szCs w:val="24"/>
          <w:lang w:val="en-US" w:eastAsia="zh-CN"/>
        </w:rPr>
      </w:pPr>
      <w:r>
        <w:rPr>
          <w:rFonts w:hint="eastAsia"/>
          <w:sz w:val="24"/>
          <w:szCs w:val="24"/>
        </w:rPr>
        <w:t>封面：</w:t>
      </w:r>
      <w:r>
        <w:rPr>
          <w:rFonts w:hint="eastAsia"/>
          <w:sz w:val="24"/>
          <w:szCs w:val="24"/>
          <w:lang w:val="en-US" w:eastAsia="zh-CN"/>
        </w:rPr>
        <w:t>详见附件1。</w:t>
      </w:r>
    </w:p>
    <w:p>
      <w:pPr>
        <w:pStyle w:val="16"/>
        <w:keepNext w:val="0"/>
        <w:keepLines w:val="0"/>
        <w:pageBreakBefore w:val="0"/>
        <w:widowControl w:val="0"/>
        <w:numPr>
          <w:ilvl w:val="0"/>
          <w:numId w:val="0"/>
        </w:numPr>
        <w:kinsoku/>
        <w:wordWrap/>
        <w:overflowPunct/>
        <w:topLinePunct w:val="0"/>
        <w:autoSpaceDE/>
        <w:autoSpaceDN/>
        <w:bidi w:val="0"/>
        <w:snapToGrid/>
        <w:spacing w:line="240" w:lineRule="auto"/>
        <w:ind w:leftChars="200"/>
        <w:textAlignment w:val="auto"/>
        <w:rPr>
          <w:rFonts w:hint="default"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2、报价表：详见</w:t>
      </w:r>
      <w:r>
        <w:rPr>
          <w:rFonts w:hint="eastAsia" w:ascii="宋体" w:hAnsi="宋体" w:eastAsia="宋体" w:cstheme="minorBidi"/>
          <w:b/>
          <w:bCs w:val="0"/>
          <w:color w:val="auto"/>
          <w:kern w:val="2"/>
          <w:sz w:val="24"/>
          <w:szCs w:val="24"/>
          <w:lang w:val="en-US" w:eastAsia="zh-CN" w:bidi="ar-SA"/>
        </w:rPr>
        <w:t>附件2。</w:t>
      </w:r>
    </w:p>
    <w:p>
      <w:pPr>
        <w:pStyle w:val="16"/>
        <w:keepNext w:val="0"/>
        <w:keepLines w:val="0"/>
        <w:pageBreakBefore w:val="0"/>
        <w:widowControl w:val="0"/>
        <w:numPr>
          <w:ilvl w:val="0"/>
          <w:numId w:val="0"/>
        </w:numPr>
        <w:kinsoku/>
        <w:wordWrap/>
        <w:overflowPunct/>
        <w:topLinePunct w:val="0"/>
        <w:autoSpaceDE/>
        <w:autoSpaceDN/>
        <w:bidi w:val="0"/>
        <w:snapToGrid/>
        <w:spacing w:line="240" w:lineRule="auto"/>
        <w:ind w:firstLine="480" w:firstLine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3、调研比选项目报名表：详见</w:t>
      </w:r>
      <w:r>
        <w:rPr>
          <w:rFonts w:hint="eastAsia" w:ascii="宋体" w:hAnsi="宋体" w:eastAsia="宋体" w:cstheme="minorBidi"/>
          <w:b/>
          <w:bCs w:val="0"/>
          <w:color w:val="auto"/>
          <w:kern w:val="2"/>
          <w:sz w:val="24"/>
          <w:szCs w:val="24"/>
          <w:lang w:val="en-US" w:eastAsia="zh-CN" w:bidi="ar-SA"/>
        </w:rPr>
        <w:t>附件3。</w:t>
      </w:r>
    </w:p>
    <w:p>
      <w:pPr>
        <w:pStyle w:val="16"/>
        <w:keepNext w:val="0"/>
        <w:keepLines w:val="0"/>
        <w:pageBreakBefore w:val="0"/>
        <w:widowControl w:val="0"/>
        <w:numPr>
          <w:ilvl w:val="0"/>
          <w:numId w:val="0"/>
        </w:numPr>
        <w:kinsoku/>
        <w:wordWrap/>
        <w:overflowPunct/>
        <w:topLinePunct w:val="0"/>
        <w:autoSpaceDE/>
        <w:autoSpaceDN/>
        <w:bidi w:val="0"/>
        <w:snapToGrid/>
        <w:spacing w:line="24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4、企业信用承诺书（请填写</w:t>
      </w:r>
      <w:r>
        <w:rPr>
          <w:rFonts w:hint="eastAsia" w:ascii="宋体" w:hAnsi="宋体" w:eastAsia="宋体" w:cs="宋体"/>
          <w:b/>
          <w:bCs w:val="0"/>
          <w:color w:val="auto"/>
          <w:kern w:val="2"/>
          <w:sz w:val="24"/>
          <w:szCs w:val="24"/>
          <w:lang w:val="en-US" w:eastAsia="zh-CN" w:bidi="ar-SA"/>
        </w:rPr>
        <w:t>附件4</w:t>
      </w:r>
      <w:r>
        <w:rPr>
          <w:rFonts w:hint="eastAsia" w:ascii="宋体" w:hAnsi="宋体" w:eastAsia="宋体" w:cs="宋体"/>
          <w:b w:val="0"/>
          <w:bCs/>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5、供应商资质、</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（1）、在中国境内注册的具有独立承担民事责任的。</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（2）、具有良好的商业信誉和健全的财务会计制度；</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（3）、具有履行合同所必须的设备和专业技术能力；</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（4）、具有依法缴纳税收和社会保障资金的良好记录；</w:t>
      </w:r>
    </w:p>
    <w:p>
      <w:pPr>
        <w:keepNext w:val="0"/>
        <w:keepLines w:val="0"/>
        <w:pageBreakBefore w:val="0"/>
        <w:widowControl w:val="0"/>
        <w:kinsoku/>
        <w:wordWrap/>
        <w:overflowPunct/>
        <w:topLinePunct w:val="0"/>
        <w:autoSpaceDE/>
        <w:autoSpaceDN/>
        <w:bidi w:val="0"/>
        <w:snapToGrid/>
        <w:spacing w:line="24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（5）、参加本次采购活动前三年内，在经营活动中没有重大违法记录；</w:t>
      </w:r>
    </w:p>
    <w:p>
      <w:pPr>
        <w:pStyle w:val="16"/>
        <w:keepNext w:val="0"/>
        <w:keepLines w:val="0"/>
        <w:pageBreakBefore w:val="0"/>
        <w:widowControl w:val="0"/>
        <w:numPr>
          <w:ilvl w:val="0"/>
          <w:numId w:val="0"/>
        </w:numPr>
        <w:kinsoku/>
        <w:wordWrap/>
        <w:overflowPunct/>
        <w:topLinePunct w:val="0"/>
        <w:autoSpaceDE/>
        <w:autoSpaceDN/>
        <w:bidi w:val="0"/>
        <w:snapToGrid/>
        <w:spacing w:line="240" w:lineRule="auto"/>
        <w:ind w:leftChars="0"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6、法人给业务员的授权书，附法人和业务员</w:t>
      </w:r>
      <w:r>
        <w:rPr>
          <w:rFonts w:hint="eastAsia" w:ascii="宋体" w:hAnsi="宋体" w:eastAsia="宋体" w:cs="宋体"/>
          <w:b w:val="0"/>
          <w:bCs/>
          <w:color w:val="auto"/>
          <w:kern w:val="2"/>
          <w:sz w:val="24"/>
          <w:szCs w:val="24"/>
          <w:lang w:val="en-US" w:eastAsia="zh-CN" w:bidi="ar-SA"/>
        </w:rPr>
        <w:t>的身份证复印件，以及业务员在投标公司所缴纳社保证明。</w:t>
      </w:r>
    </w:p>
    <w:p>
      <w:pPr>
        <w:pStyle w:val="16"/>
        <w:keepNext w:val="0"/>
        <w:keepLines w:val="0"/>
        <w:pageBreakBefore w:val="0"/>
        <w:widowControl w:val="0"/>
        <w:numPr>
          <w:ilvl w:val="0"/>
          <w:numId w:val="0"/>
        </w:numPr>
        <w:kinsoku/>
        <w:wordWrap/>
        <w:overflowPunct/>
        <w:topLinePunct w:val="0"/>
        <w:autoSpaceDE/>
        <w:autoSpaceDN/>
        <w:bidi w:val="0"/>
        <w:snapToGrid/>
        <w:spacing w:line="240" w:lineRule="auto"/>
        <w:ind w:leftChars="0"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7、其他医院合同复印件或相关发票(三级医院排在前面，合同需体现项目信息，发票建议提前查验，避免出现冲红发票等问题）。</w:t>
      </w:r>
    </w:p>
    <w:p>
      <w:pPr>
        <w:pStyle w:val="16"/>
        <w:keepNext w:val="0"/>
        <w:keepLines w:val="0"/>
        <w:pageBreakBefore w:val="0"/>
        <w:widowControl w:val="0"/>
        <w:numPr>
          <w:ilvl w:val="0"/>
          <w:numId w:val="0"/>
        </w:numPr>
        <w:kinsoku/>
        <w:wordWrap/>
        <w:overflowPunct/>
        <w:topLinePunct w:val="0"/>
        <w:autoSpaceDE/>
        <w:autoSpaceDN/>
        <w:bidi w:val="0"/>
        <w:snapToGrid/>
        <w:spacing w:line="240" w:lineRule="auto"/>
        <w:ind w:leftChars="0"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8、用户名单、采购时间。</w:t>
      </w:r>
    </w:p>
    <w:p>
      <w:pPr>
        <w:pStyle w:val="16"/>
        <w:keepNext w:val="0"/>
        <w:keepLines w:val="0"/>
        <w:pageBreakBefore w:val="0"/>
        <w:widowControl w:val="0"/>
        <w:numPr>
          <w:ilvl w:val="0"/>
          <w:numId w:val="0"/>
        </w:numPr>
        <w:kinsoku/>
        <w:wordWrap/>
        <w:overflowPunct/>
        <w:topLinePunct w:val="0"/>
        <w:autoSpaceDE/>
        <w:autoSpaceDN/>
        <w:bidi w:val="0"/>
        <w:snapToGrid/>
        <w:spacing w:line="240" w:lineRule="auto"/>
        <w:ind w:leftChars="0" w:firstLine="480" w:firstLineChars="200"/>
        <w:textAlignment w:val="auto"/>
        <w:rPr>
          <w:rFonts w:hint="eastAsia" w:ascii="宋体" w:hAnsi="宋体" w:eastAsia="宋体"/>
          <w:color w:val="auto"/>
          <w:sz w:val="24"/>
          <w:szCs w:val="24"/>
        </w:rPr>
      </w:pPr>
      <w:r>
        <w:rPr>
          <w:rFonts w:hint="eastAsia" w:ascii="宋体" w:hAnsi="宋体" w:eastAsia="宋体" w:cstheme="minorBidi"/>
          <w:b w:val="0"/>
          <w:bCs/>
          <w:color w:val="auto"/>
          <w:kern w:val="2"/>
          <w:sz w:val="24"/>
          <w:szCs w:val="24"/>
          <w:lang w:val="en-US" w:eastAsia="zh-CN" w:bidi="ar-SA"/>
        </w:rPr>
        <w:t>9、</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keepNext w:val="0"/>
        <w:keepLines w:val="0"/>
        <w:pageBreakBefore w:val="0"/>
        <w:widowControl w:val="0"/>
        <w:kinsoku/>
        <w:wordWrap/>
        <w:overflowPunct/>
        <w:topLinePunct w:val="0"/>
        <w:autoSpaceDE/>
        <w:autoSpaceDN/>
        <w:bidi w:val="0"/>
        <w:snapToGrid/>
        <w:spacing w:line="240" w:lineRule="auto"/>
        <w:ind w:left="720" w:leftChars="228" w:hanging="241" w:hangingChars="100"/>
        <w:textAlignment w:val="auto"/>
        <w:rPr>
          <w:rFonts w:hint="eastAsia" w:ascii="宋体" w:hAnsi="宋体"/>
          <w:b/>
          <w:sz w:val="24"/>
          <w:szCs w:val="24"/>
        </w:rPr>
      </w:pPr>
      <w:r>
        <w:rPr>
          <w:rFonts w:hint="eastAsia" w:ascii="宋体" w:hAnsi="宋体"/>
          <w:b/>
          <w:sz w:val="24"/>
          <w:szCs w:val="24"/>
          <w:lang w:val="en-US" w:eastAsia="zh-CN"/>
        </w:rPr>
        <w:t>10</w:t>
      </w:r>
      <w:r>
        <w:rPr>
          <w:rFonts w:hint="eastAsia" w:ascii="宋体" w:hAnsi="宋体"/>
          <w:b/>
          <w:sz w:val="24"/>
          <w:szCs w:val="24"/>
        </w:rPr>
        <w:t>、技术参数：</w:t>
      </w:r>
      <w:r>
        <w:rPr>
          <w:rFonts w:hint="eastAsia" w:ascii="宋体" w:hAnsi="宋体"/>
          <w:b/>
          <w:sz w:val="24"/>
          <w:szCs w:val="24"/>
        </w:rPr>
        <w:br w:type="textWrapping"/>
      </w:r>
    </w:p>
    <w:tbl>
      <w:tblPr>
        <w:tblStyle w:val="8"/>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75"/>
        <w:gridCol w:w="2475"/>
        <w:gridCol w:w="810"/>
        <w:gridCol w:w="720"/>
        <w:gridCol w:w="129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预算总价（元）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冷却塔</w:t>
            </w:r>
          </w:p>
        </w:tc>
        <w:tc>
          <w:tcPr>
            <w:tcW w:w="247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斯频德DX-M2661-E</w:t>
            </w:r>
          </w:p>
        </w:tc>
        <w:tc>
          <w:tcPr>
            <w:tcW w:w="81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组</w:t>
            </w:r>
          </w:p>
        </w:tc>
        <w:tc>
          <w:tcPr>
            <w:tcW w:w="129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1500</w:t>
            </w:r>
          </w:p>
        </w:tc>
        <w:tc>
          <w:tcPr>
            <w:tcW w:w="126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变频离心式冷水机组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（冷凝器和过滤器）</w:t>
            </w:r>
          </w:p>
        </w:tc>
        <w:tc>
          <w:tcPr>
            <w:tcW w:w="247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约克YKH1F6H95EUH/BB22BVRP</w:t>
            </w:r>
          </w:p>
        </w:tc>
        <w:tc>
          <w:tcPr>
            <w:tcW w:w="81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4000</w:t>
            </w:r>
          </w:p>
        </w:tc>
        <w:tc>
          <w:tcPr>
            <w:tcW w:w="126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冷却水系统处理</w:t>
            </w:r>
          </w:p>
        </w:tc>
        <w:tc>
          <w:tcPr>
            <w:tcW w:w="2475"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仿宋_GB2312" w:hAnsi="宋体" w:eastAsia="仿宋_GB2312" w:cs="仿宋_GB2312"/>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w:t>
            </w:r>
          </w:p>
        </w:tc>
        <w:tc>
          <w:tcPr>
            <w:tcW w:w="129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6990</w:t>
            </w:r>
          </w:p>
        </w:tc>
        <w:tc>
          <w:tcPr>
            <w:tcW w:w="126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3" w:hRule="atLeast"/>
        </w:trPr>
        <w:tc>
          <w:tcPr>
            <w:tcW w:w="903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1、施工单位须提供清洗消毒所使用的所有药剂的资质以及药剂检测报告。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2、施工结束后，须由甲方指定的权威第三方检测机构对施工现场进行采样检测，并出具清洗检测报告，检测费用由乙方承担。检测结果须符合标准规范当中的指标要求。即：冷却水游离氯  0.05—1mg/L；冷凝水嗜肺军团菌  不得检出。</w:t>
            </w:r>
          </w:p>
        </w:tc>
      </w:tr>
    </w:tbl>
    <w:p>
      <w:pPr>
        <w:rPr>
          <w:rFonts w:hint="eastAsia"/>
        </w:rPr>
      </w:pPr>
    </w:p>
    <w:p>
      <w:pPr>
        <w:rPr>
          <w:rFonts w:ascii="宋体" w:hAnsi="宋体" w:eastAsia="宋体"/>
          <w:sz w:val="24"/>
          <w:szCs w:val="24"/>
        </w:rPr>
      </w:pPr>
      <w:r>
        <w:rPr>
          <w:rFonts w:hint="eastAsia" w:ascii="宋体" w:hAnsi="宋体"/>
          <w:b/>
          <w:sz w:val="24"/>
          <w:szCs w:val="24"/>
          <w:lang w:val="en-US" w:eastAsia="zh-CN"/>
        </w:rPr>
        <w:t xml:space="preserve">   11、评分表（见附件6）  </w:t>
      </w:r>
    </w:p>
    <w:p>
      <w:pPr>
        <w:rPr>
          <w:rFonts w:ascii="宋体" w:hAnsi="宋体" w:eastAsia="宋体"/>
          <w:sz w:val="24"/>
          <w:szCs w:val="24"/>
        </w:rPr>
      </w:pP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请将上述所有文件</w:t>
      </w:r>
      <w:r>
        <w:rPr>
          <w:rFonts w:hint="eastAsia" w:ascii="宋体" w:hAnsi="宋体" w:eastAsia="宋体"/>
          <w:b/>
          <w:bCs/>
          <w:color w:val="FF0000"/>
          <w:sz w:val="24"/>
          <w:szCs w:val="24"/>
        </w:rPr>
        <w:t>每页加盖报名公司公章</w:t>
      </w:r>
      <w:r>
        <w:rPr>
          <w:rFonts w:hint="eastAsia" w:ascii="宋体" w:hAnsi="宋体" w:eastAsia="宋体"/>
          <w:sz w:val="24"/>
          <w:szCs w:val="24"/>
        </w:rPr>
        <w:t>后，上传至</w:t>
      </w:r>
      <w:r>
        <w:rPr>
          <w:rFonts w:hint="eastAsia" w:ascii="宋体" w:hAnsi="宋体" w:eastAsia="宋体"/>
          <w:sz w:val="24"/>
          <w:szCs w:val="24"/>
          <w:lang w:val="en-US" w:eastAsia="zh-CN"/>
        </w:rPr>
        <w:t>指定邮箱。</w:t>
      </w:r>
      <w:r>
        <w:rPr>
          <w:rFonts w:hint="eastAsia" w:ascii="宋体" w:hAnsi="宋体" w:eastAsia="宋体"/>
          <w:sz w:val="24"/>
          <w:szCs w:val="24"/>
        </w:rPr>
        <w:t>一份纸质版材料</w:t>
      </w:r>
      <w:r>
        <w:rPr>
          <w:rFonts w:hint="eastAsia" w:ascii="宋体" w:hAnsi="宋体" w:eastAsia="宋体"/>
          <w:sz w:val="24"/>
          <w:szCs w:val="24"/>
          <w:lang w:eastAsia="zh-CN"/>
        </w:rPr>
        <w:t>，</w:t>
      </w:r>
      <w:r>
        <w:rPr>
          <w:rFonts w:hint="eastAsia" w:ascii="宋体" w:hAnsi="宋体" w:eastAsia="宋体"/>
          <w:sz w:val="24"/>
          <w:szCs w:val="24"/>
          <w:lang w:val="en-US" w:eastAsia="zh-CN"/>
        </w:rPr>
        <w:t>待采购会时</w:t>
      </w:r>
      <w:bookmarkStart w:id="0" w:name="_Hlk107847759"/>
      <w:r>
        <w:rPr>
          <w:rFonts w:hint="eastAsia" w:ascii="宋体" w:hAnsi="宋体" w:eastAsia="宋体"/>
          <w:sz w:val="24"/>
          <w:szCs w:val="24"/>
          <w:lang w:val="en-US" w:eastAsia="zh-CN"/>
        </w:rPr>
        <w:t>提交</w:t>
      </w:r>
      <w:r>
        <w:rPr>
          <w:rFonts w:hint="eastAsia" w:ascii="宋体" w:hAnsi="宋体" w:eastAsia="宋体"/>
          <w:sz w:val="24"/>
          <w:szCs w:val="24"/>
        </w:rPr>
        <w:t>。</w:t>
      </w:r>
      <w:bookmarkEnd w:id="0"/>
      <w:r>
        <w:rPr>
          <w:rFonts w:hint="eastAsia" w:ascii="宋体" w:hAnsi="宋体" w:eastAsia="宋体"/>
          <w:sz w:val="24"/>
          <w:szCs w:val="24"/>
          <w:lang w:val="en-US" w:eastAsia="zh-CN"/>
        </w:rPr>
        <w:t>请</w:t>
      </w:r>
      <w:r>
        <w:rPr>
          <w:rFonts w:hint="eastAsia" w:ascii="宋体" w:hAnsi="宋体" w:eastAsia="宋体"/>
          <w:sz w:val="24"/>
          <w:szCs w:val="24"/>
        </w:rPr>
        <w:t>严格按照本清单内容递交报名材料，否则视为自动弃权！</w:t>
      </w:r>
    </w:p>
    <w:p>
      <w:pPr>
        <w:ind w:firstLine="480" w:firstLineChars="200"/>
        <w:rPr>
          <w:rFonts w:ascii="宋体" w:hAnsi="宋体" w:eastAsia="宋体"/>
          <w:sz w:val="24"/>
          <w:szCs w:val="24"/>
        </w:rPr>
      </w:pPr>
      <w:r>
        <w:rPr>
          <w:rFonts w:hint="eastAsia" w:ascii="宋体" w:hAnsi="宋体" w:eastAsia="宋体"/>
          <w:sz w:val="24"/>
          <w:szCs w:val="24"/>
        </w:rPr>
        <w:t>递交材料经院方审核通过后，医院会发邮件通知正式商谈的具体时间地点，届时请带1份书面报价单（格式如下），要求密封，报价单和密封信封上加盖公司公章，现场递交。</w:t>
      </w:r>
    </w:p>
    <w:p>
      <w:pPr>
        <w:pStyle w:val="16"/>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pPr>
    </w:p>
    <w:p>
      <w:pPr>
        <w:pStyle w:val="16"/>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sectPr>
          <w:pgSz w:w="11906" w:h="16838"/>
          <w:pgMar w:top="1440" w:right="1416" w:bottom="1440" w:left="1560" w:header="851" w:footer="992" w:gutter="0"/>
          <w:cols w:space="425" w:num="1"/>
          <w:docGrid w:type="lines" w:linePitch="312" w:charSpace="0"/>
        </w:sectPr>
      </w:pPr>
    </w:p>
    <w:p>
      <w:pPr>
        <w:pStyle w:val="16"/>
        <w:adjustRightInd w:val="0"/>
        <w:spacing w:before="160" w:after="160"/>
        <w:ind w:firstLine="643"/>
        <w:contextualSpacing/>
        <w:rPr>
          <w:rFonts w:ascii="方正仿宋_GBK" w:eastAsia="方正仿宋_GBK"/>
          <w:b/>
          <w:sz w:val="32"/>
        </w:rPr>
      </w:pPr>
      <w:bookmarkStart w:id="1" w:name="_Hlk107847795"/>
      <w:r>
        <w:rPr>
          <w:rFonts w:ascii="方正仿宋_GBK" w:eastAsia="方正仿宋_GBK"/>
          <w:b/>
          <w:sz w:val="32"/>
        </w:rPr>
        <w:t>附件1：</w:t>
      </w:r>
    </w:p>
    <w:p>
      <w:pPr>
        <w:rPr>
          <w:rFonts w:hint="eastAsia" w:ascii="黑体" w:eastAsia="黑体"/>
          <w:sz w:val="32"/>
        </w:rPr>
      </w:pPr>
    </w:p>
    <w:p>
      <w:pPr>
        <w:spacing w:line="276" w:lineRule="auto"/>
        <w:rPr>
          <w:rFonts w:ascii="黑体" w:hAnsi="宋体" w:eastAsia="黑体"/>
          <w:sz w:val="24"/>
          <w:szCs w:val="52"/>
        </w:rPr>
      </w:pPr>
    </w:p>
    <w:p>
      <w:pPr>
        <w:spacing w:before="240" w:after="60"/>
        <w:jc w:val="center"/>
        <w:outlineLvl w:val="0"/>
        <w:rPr>
          <w:rFonts w:hint="eastAsia" w:ascii="黑体" w:hAnsi="Cambria" w:eastAsia="黑体"/>
          <w:bCs/>
          <w:sz w:val="48"/>
          <w:szCs w:val="48"/>
          <w:lang w:val="en-US" w:eastAsia="zh-CN"/>
        </w:rPr>
      </w:pPr>
      <w:r>
        <w:rPr>
          <w:rFonts w:hint="eastAsia" w:ascii="黑体" w:hAnsi="Cambria" w:eastAsia="黑体"/>
          <w:bCs/>
          <w:sz w:val="48"/>
          <w:szCs w:val="48"/>
          <w:lang w:val="en-US" w:eastAsia="zh-CN"/>
        </w:rPr>
        <w:t>威海市立医院临港院区冷却塔等空调设备清洗项目</w:t>
      </w:r>
    </w:p>
    <w:p>
      <w:pPr>
        <w:spacing w:before="240" w:after="60"/>
        <w:jc w:val="center"/>
        <w:outlineLvl w:val="0"/>
        <w:rPr>
          <w:rFonts w:hint="eastAsia"/>
        </w:rPr>
      </w:pPr>
      <w:r>
        <w:rPr>
          <w:rFonts w:hint="eastAsia" w:ascii="黑体" w:hAnsi="Cambria" w:eastAsia="黑体"/>
          <w:bCs/>
          <w:sz w:val="48"/>
          <w:szCs w:val="48"/>
          <w:lang w:val="en-US" w:eastAsia="zh-CN"/>
        </w:rPr>
        <w:t>编号</w:t>
      </w:r>
      <w:r>
        <w:rPr>
          <w:rFonts w:hint="eastAsia" w:ascii="黑体" w:hAnsi="Cambria" w:eastAsia="黑体"/>
          <w:bCs/>
          <w:sz w:val="48"/>
          <w:szCs w:val="48"/>
          <w:lang w:eastAsia="zh-CN"/>
        </w:rPr>
        <w:t>（</w:t>
      </w:r>
      <w:r>
        <w:rPr>
          <w:rFonts w:hint="eastAsia" w:ascii="黑体" w:hAnsi="Cambria" w:eastAsia="黑体"/>
          <w:bCs/>
          <w:sz w:val="48"/>
          <w:szCs w:val="48"/>
          <w:lang w:val="en-US" w:eastAsia="zh-CN"/>
        </w:rPr>
        <w:t>202506-1）</w:t>
      </w: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Pr>
        <w:jc w:val="left"/>
        <w:rPr>
          <w:b/>
          <w:sz w:val="32"/>
          <w:szCs w:val="32"/>
        </w:rPr>
      </w:pPr>
      <w:r>
        <w:rPr>
          <w:rFonts w:hint="eastAsia"/>
          <w:b/>
          <w:sz w:val="32"/>
          <w:szCs w:val="32"/>
        </w:rPr>
        <w:t>附件</w:t>
      </w:r>
      <w:r>
        <w:rPr>
          <w:b/>
          <w:sz w:val="32"/>
          <w:szCs w:val="32"/>
        </w:rPr>
        <w:t>2</w:t>
      </w:r>
      <w:r>
        <w:rPr>
          <w:rFonts w:hint="eastAsia"/>
          <w:b/>
          <w:sz w:val="32"/>
          <w:szCs w:val="32"/>
        </w:rPr>
        <w:t>：</w:t>
      </w:r>
    </w:p>
    <w:p>
      <w:pPr>
        <w:jc w:val="center"/>
        <w:rPr>
          <w:rFonts w:hint="eastAsia"/>
          <w:b/>
          <w:sz w:val="32"/>
          <w:szCs w:val="32"/>
        </w:rPr>
      </w:pPr>
      <w:r>
        <w:rPr>
          <w:rFonts w:hint="eastAsia"/>
          <w:b/>
          <w:sz w:val="32"/>
          <w:szCs w:val="32"/>
        </w:rPr>
        <w:t>报价单</w:t>
      </w:r>
    </w:p>
    <w:tbl>
      <w:tblPr>
        <w:tblStyle w:val="8"/>
        <w:tblW w:w="9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75"/>
        <w:gridCol w:w="2475"/>
        <w:gridCol w:w="810"/>
        <w:gridCol w:w="825"/>
        <w:gridCol w:w="129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单价（元）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冷却塔</w:t>
            </w:r>
          </w:p>
        </w:tc>
        <w:tc>
          <w:tcPr>
            <w:tcW w:w="247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斯频德DX-M2661-E</w:t>
            </w:r>
          </w:p>
        </w:tc>
        <w:tc>
          <w:tcPr>
            <w:tcW w:w="81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组</w:t>
            </w:r>
          </w:p>
        </w:tc>
        <w:tc>
          <w:tcPr>
            <w:tcW w:w="129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变频离心式冷水机组</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（冷凝器和过滤器）</w:t>
            </w:r>
          </w:p>
        </w:tc>
        <w:tc>
          <w:tcPr>
            <w:tcW w:w="247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约克YKH1F6H95EUH/BB22BVRP</w:t>
            </w:r>
          </w:p>
        </w:tc>
        <w:tc>
          <w:tcPr>
            <w:tcW w:w="81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冷却水系统处理</w:t>
            </w:r>
          </w:p>
        </w:tc>
        <w:tc>
          <w:tcPr>
            <w:tcW w:w="2475" w:type="dxa"/>
            <w:tcBorders>
              <w:top w:val="single" w:color="000000" w:sz="4" w:space="0"/>
              <w:left w:val="single" w:color="000000" w:sz="4" w:space="0"/>
              <w:bottom w:val="single" w:color="000000" w:sz="4" w:space="0"/>
              <w:right w:val="single" w:color="000000" w:sz="4" w:space="0"/>
            </w:tcBorders>
            <w:shd w:val="clear" w:color="auto" w:fill="92D050"/>
            <w:vAlign w:val="center"/>
          </w:tcPr>
          <w:p>
            <w:pPr>
              <w:jc w:val="center"/>
              <w:rPr>
                <w:rFonts w:hint="eastAsia" w:ascii="仿宋_GB2312" w:hAnsi="宋体" w:eastAsia="仿宋_GB2312" w:cs="仿宋_GB2312"/>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w:t>
            </w:r>
            <w:bookmarkStart w:id="2" w:name="_GoBack"/>
            <w:bookmarkEnd w:id="2"/>
          </w:p>
        </w:tc>
        <w:tc>
          <w:tcPr>
            <w:tcW w:w="1290"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1、施工单位须提供清洗消毒所使用的所有药剂的资质以及药剂检测报告。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2、施工结束后，须由甲方指定的权威第三方检测机构对施工现场进行采样检测，并出具清洗检测报告，检测费用由乙方承担。检测结果须符合标准规范当中的指标要求。即：冷却水游离氯  0.05—1mg/L；冷凝水嗜肺军团菌  不得检出。</w:t>
            </w:r>
          </w:p>
        </w:tc>
      </w:tr>
    </w:tbl>
    <w:p>
      <w:pPr>
        <w:pStyle w:val="3"/>
        <w:rPr>
          <w:rFonts w:hint="eastAsia"/>
        </w:rPr>
      </w:pPr>
    </w:p>
    <w:p>
      <w:pPr>
        <w:keepNext/>
        <w:keepLines/>
        <w:widowControl w:val="0"/>
        <w:spacing w:before="100" w:beforeAutospacing="1" w:after="100" w:afterAutospacing="1" w:line="240" w:lineRule="auto"/>
        <w:jc w:val="left"/>
        <w:outlineLvl w:val="0"/>
        <w:rPr>
          <w:rFonts w:hint="default"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威海市立医院招标采购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8"/>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黑体" w:hAnsi="Cambria" w:eastAsia="黑体"/>
                <w:bCs/>
                <w:sz w:val="36"/>
                <w:szCs w:val="36"/>
                <w:lang w:val="en-US" w:eastAsia="zh-CN"/>
              </w:rPr>
              <w:t>威海市立医院临港院区冷却塔等空调设备清洗项目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18"/>
                <w:szCs w:val="18"/>
                <w:lang w:eastAsia="zh-CN"/>
              </w:rPr>
            </w:pP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pStyle w:val="3"/>
              <w:rPr>
                <w:rFonts w:hint="eastAsia" w:ascii="宋体" w:hAnsi="宋体"/>
                <w:sz w:val="18"/>
                <w:szCs w:val="18"/>
                <w:lang w:eastAsia="zh-CN"/>
              </w:rPr>
            </w:pPr>
            <w:r>
              <w:rPr>
                <w:rFonts w:hint="default" w:ascii="Calibri" w:hAnsi="Calibri" w:eastAsia="宋体" w:cs="Calibri"/>
                <w:sz w:val="24"/>
                <w:szCs w:val="24"/>
                <w:lang w:eastAsia="zh-CN"/>
              </w:rPr>
              <w:t>②</w:t>
            </w:r>
          </w:p>
          <w:p>
            <w:pPr>
              <w:spacing w:line="400" w:lineRule="exact"/>
              <w:jc w:val="both"/>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4</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宋体" w:hAnsi="宋体" w:eastAsia="宋体" w:cs="宋体"/>
                <w:sz w:val="24"/>
                <w:szCs w:val="24"/>
                <w:lang w:eastAsia="zh-CN"/>
              </w:rPr>
              <w:t>④</w:t>
            </w:r>
            <w:r>
              <w:rPr>
                <w:rFonts w:hint="eastAsia" w:ascii="Calibri" w:hAnsi="Calibri" w:eastAsia="宋体" w:cs="Times New Roman"/>
                <w:sz w:val="24"/>
                <w:szCs w:val="24"/>
                <w:lang w:eastAsia="zh-CN"/>
              </w:rPr>
              <w:t>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6"/>
        <w:adjustRightInd w:val="0"/>
        <w:spacing w:before="160" w:after="160"/>
        <w:ind w:firstLine="643"/>
        <w:contextualSpacing/>
        <w:rPr>
          <w:rFonts w:hint="eastAsia" w:ascii="方正仿宋_GBK" w:eastAsia="方正仿宋_GBK"/>
          <w:b/>
          <w:sz w:val="32"/>
          <w:lang w:val="en-US" w:eastAsia="zh-CN"/>
        </w:rPr>
      </w:pPr>
      <w:r>
        <w:rPr>
          <w:rFonts w:hint="eastAsia" w:ascii="方正仿宋_GBK" w:eastAsia="方正仿宋_GBK"/>
          <w:b/>
          <w:sz w:val="32"/>
          <w:lang w:val="en-US" w:eastAsia="zh-CN"/>
        </w:rPr>
        <w:t>附件4：</w:t>
      </w:r>
    </w:p>
    <w:p>
      <w:pPr>
        <w:pStyle w:val="16"/>
        <w:adjustRightInd w:val="0"/>
        <w:spacing w:before="160" w:after="160"/>
        <w:ind w:firstLine="643"/>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6"/>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6"/>
              <w:adjustRightInd w:val="0"/>
              <w:spacing w:line="360" w:lineRule="exact"/>
              <w:ind w:firstLine="560"/>
              <w:contextualSpacing/>
              <w:rPr>
                <w:rFonts w:ascii="方正仿宋_GBK" w:eastAsia="方正仿宋_GBK"/>
                <w:sz w:val="28"/>
              </w:rPr>
            </w:pPr>
          </w:p>
          <w:p>
            <w:pPr>
              <w:pStyle w:val="16"/>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1"/>
    </w:tbl>
    <w:p>
      <w:pPr>
        <w:widowControl/>
        <w:jc w:val="left"/>
      </w:pPr>
    </w:p>
    <w:p>
      <w:pPr>
        <w:widowControl/>
        <w:jc w:val="left"/>
      </w:pPr>
    </w:p>
    <w:p>
      <w:pPr>
        <w:widowControl/>
        <w:jc w:val="left"/>
      </w:pPr>
    </w:p>
    <w:p>
      <w:pPr>
        <w:pStyle w:val="16"/>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6"/>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6"/>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年  月  日</w:t>
      </w:r>
    </w:p>
    <w:p>
      <w:pPr>
        <w:widowControl/>
        <w:adjustRightInd w:val="0"/>
        <w:spacing w:before="160" w:after="160"/>
        <w:contextualSpacing/>
        <w:jc w:val="left"/>
        <w:rPr>
          <w:rFonts w:ascii="宋体" w:hAnsi="宋体" w:eastAsia="宋体"/>
          <w:bCs/>
          <w:szCs w:val="21"/>
        </w:rPr>
      </w:pPr>
    </w:p>
    <w:p>
      <w:pPr>
        <w:rPr>
          <w:rFonts w:hint="eastAsia"/>
          <w:bCs/>
          <w:lang w:val="en-US" w:eastAsia="zh-CN"/>
        </w:rPr>
      </w:pPr>
      <w:r>
        <w:rPr>
          <w:rFonts w:hint="eastAsia"/>
          <w:bCs/>
          <w:lang w:val="en-US" w:eastAsia="zh-CN"/>
        </w:rPr>
        <w:t>附件6：评分表</w:t>
      </w:r>
    </w:p>
    <w:p>
      <w:pPr>
        <w:pStyle w:val="3"/>
        <w:rPr>
          <w:rFonts w:hint="default"/>
          <w:lang w:val="en-US" w:eastAsia="zh-CN"/>
        </w:rPr>
      </w:pPr>
    </w:p>
    <w:tbl>
      <w:tblPr>
        <w:tblStyle w:val="8"/>
        <w:tblW w:w="9196"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0"/>
        <w:gridCol w:w="629"/>
        <w:gridCol w:w="1170"/>
        <w:gridCol w:w="71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序号</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评审项目及标准分</w:t>
            </w:r>
          </w:p>
        </w:tc>
        <w:tc>
          <w:tcPr>
            <w:tcW w:w="7117" w:type="dxa"/>
            <w:tcBorders>
              <w:right w:val="single" w:color="auto" w:sz="4" w:space="0"/>
            </w:tcBorders>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1</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报   价</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30</w:t>
            </w:r>
            <w:r>
              <w:rPr>
                <w:rFonts w:hint="eastAsia" w:ascii="宋体" w:hAnsi="宋体" w:cs="仿宋_GB2312"/>
                <w:szCs w:val="21"/>
              </w:rPr>
              <w:t>分</w:t>
            </w:r>
          </w:p>
        </w:tc>
        <w:tc>
          <w:tcPr>
            <w:tcW w:w="7117" w:type="dxa"/>
            <w:tcBorders>
              <w:right w:val="single" w:color="auto" w:sz="4" w:space="0"/>
            </w:tcBorders>
            <w:noWrap w:val="0"/>
            <w:vAlign w:val="center"/>
          </w:tcPr>
          <w:p>
            <w:pPr>
              <w:spacing w:line="280" w:lineRule="exact"/>
              <w:rPr>
                <w:rFonts w:hint="eastAsia" w:ascii="宋体" w:hAnsi="宋体" w:cs="仿宋_GB2312"/>
                <w:szCs w:val="21"/>
              </w:rPr>
            </w:pPr>
            <w:r>
              <w:rPr>
                <w:rFonts w:hint="eastAsia" w:ascii="宋体" w:hAnsi="宋体" w:cs="仿宋_GB2312"/>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cs="仿宋_GB2312"/>
                <w:szCs w:val="21"/>
                <w:lang w:val="en-US" w:eastAsia="zh-CN"/>
              </w:rPr>
              <w:t>30</w:t>
            </w:r>
            <w:r>
              <w:rPr>
                <w:rFonts w:hint="eastAsia" w:ascii="宋体" w:hAnsi="宋体" w:cs="仿宋_GB2312"/>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2</w:t>
            </w:r>
          </w:p>
        </w:tc>
        <w:tc>
          <w:tcPr>
            <w:tcW w:w="629" w:type="dxa"/>
            <w:vMerge w:val="restart"/>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质</w:t>
            </w:r>
          </w:p>
          <w:p>
            <w:pPr>
              <w:spacing w:line="280" w:lineRule="exact"/>
              <w:jc w:val="center"/>
              <w:rPr>
                <w:rFonts w:hint="eastAsia" w:ascii="宋体" w:hAnsi="宋体" w:cs="仿宋_GB2312"/>
                <w:szCs w:val="21"/>
              </w:rPr>
            </w:pPr>
            <w:r>
              <w:rPr>
                <w:rFonts w:hint="eastAsia" w:ascii="宋体" w:hAnsi="宋体" w:cs="仿宋_GB2312"/>
                <w:szCs w:val="21"/>
              </w:rPr>
              <w:t>量</w:t>
            </w:r>
          </w:p>
          <w:p>
            <w:pPr>
              <w:spacing w:line="280" w:lineRule="exact"/>
              <w:jc w:val="center"/>
              <w:rPr>
                <w:rFonts w:hint="eastAsia" w:ascii="宋体" w:hAnsi="宋体" w:cs="仿宋_GB2312"/>
                <w:szCs w:val="21"/>
              </w:rPr>
            </w:pPr>
            <w:r>
              <w:rPr>
                <w:rFonts w:hint="eastAsia" w:ascii="宋体" w:hAnsi="宋体" w:cs="仿宋_GB2312"/>
                <w:szCs w:val="21"/>
              </w:rPr>
              <w:t>和</w:t>
            </w:r>
          </w:p>
          <w:p>
            <w:pPr>
              <w:spacing w:line="280" w:lineRule="exact"/>
              <w:jc w:val="center"/>
              <w:rPr>
                <w:rFonts w:hint="eastAsia" w:ascii="宋体" w:hAnsi="宋体" w:cs="仿宋_GB2312"/>
                <w:szCs w:val="21"/>
              </w:rPr>
            </w:pPr>
            <w:r>
              <w:rPr>
                <w:rFonts w:hint="eastAsia" w:ascii="宋体" w:hAnsi="宋体" w:cs="仿宋_GB2312"/>
                <w:szCs w:val="21"/>
              </w:rPr>
              <w:t>服</w:t>
            </w:r>
          </w:p>
          <w:p>
            <w:pPr>
              <w:spacing w:line="280" w:lineRule="exact"/>
              <w:jc w:val="center"/>
              <w:rPr>
                <w:rFonts w:hint="eastAsia" w:ascii="宋体" w:hAnsi="宋体" w:cs="仿宋_GB2312"/>
                <w:szCs w:val="21"/>
              </w:rPr>
            </w:pPr>
            <w:r>
              <w:rPr>
                <w:rFonts w:hint="eastAsia" w:ascii="宋体" w:hAnsi="宋体" w:cs="仿宋_GB2312"/>
                <w:szCs w:val="21"/>
              </w:rPr>
              <w:t>务</w:t>
            </w: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lang w:val="en-US" w:eastAsia="zh-CN"/>
              </w:rPr>
              <w:t>服务方案40</w:t>
            </w:r>
            <w:r>
              <w:rPr>
                <w:rFonts w:hint="eastAsia" w:ascii="宋体" w:hAnsi="宋体" w:cs="仿宋_GB2312"/>
                <w:szCs w:val="21"/>
              </w:rPr>
              <w:t>分</w:t>
            </w:r>
          </w:p>
        </w:tc>
        <w:tc>
          <w:tcPr>
            <w:tcW w:w="7117" w:type="dxa"/>
            <w:tcBorders>
              <w:right w:val="single" w:color="auto" w:sz="4" w:space="0"/>
            </w:tcBorders>
            <w:noWrap w:val="0"/>
            <w:vAlign w:val="top"/>
          </w:tcPr>
          <w:p>
            <w:pPr>
              <w:spacing w:line="280" w:lineRule="exact"/>
              <w:rPr>
                <w:rFonts w:hint="eastAsia"/>
              </w:rPr>
            </w:pPr>
            <w:r>
              <w:rPr>
                <w:rFonts w:hint="eastAsia"/>
              </w:rPr>
              <w:t>投标人选用的产品不能实质性响应招标文件技术要求的投标无效。能实质性响应招标文件要求的，由评委根据以下标准按优、良、一般三个等级以1分为单位进行打分：</w:t>
            </w:r>
          </w:p>
          <w:p>
            <w:pPr>
              <w:spacing w:line="280" w:lineRule="exact"/>
              <w:rPr>
                <w:rFonts w:hint="eastAsia"/>
              </w:rPr>
            </w:pPr>
            <w:r>
              <w:rPr>
                <w:rFonts w:hint="eastAsia"/>
              </w:rPr>
              <w:t>优【</w:t>
            </w:r>
            <w:r>
              <w:rPr>
                <w:rFonts w:hint="eastAsia"/>
                <w:lang w:val="en-US" w:eastAsia="zh-CN"/>
              </w:rPr>
              <w:t>40</w:t>
            </w:r>
            <w:r>
              <w:rPr>
                <w:rFonts w:hint="eastAsia"/>
              </w:rPr>
              <w:t>分-</w:t>
            </w:r>
            <w:r>
              <w:rPr>
                <w:rFonts w:hint="eastAsia"/>
                <w:lang w:val="en-US" w:eastAsia="zh-CN"/>
              </w:rPr>
              <w:t>27</w:t>
            </w:r>
            <w:r>
              <w:rPr>
                <w:rFonts w:hint="eastAsia"/>
              </w:rPr>
              <w:t>分】：投标人所投报产品的技术参数完全响应投标文件中对产品的要求及描述；产品整体性能、技术水平处于国际、国家或行业领先水平；或者本次投标产品非常符合临床需求。</w:t>
            </w:r>
          </w:p>
          <w:p>
            <w:pPr>
              <w:spacing w:line="280" w:lineRule="exact"/>
              <w:rPr>
                <w:rFonts w:hint="eastAsia"/>
              </w:rPr>
            </w:pPr>
            <w:r>
              <w:rPr>
                <w:rFonts w:hint="eastAsia"/>
              </w:rPr>
              <w:t>良【</w:t>
            </w:r>
            <w:r>
              <w:rPr>
                <w:rFonts w:hint="eastAsia"/>
                <w:lang w:val="en-US" w:eastAsia="zh-CN"/>
              </w:rPr>
              <w:t>26</w:t>
            </w:r>
            <w:r>
              <w:rPr>
                <w:rFonts w:hint="eastAsia"/>
              </w:rPr>
              <w:t>分-</w:t>
            </w:r>
            <w:r>
              <w:rPr>
                <w:rFonts w:hint="eastAsia"/>
                <w:lang w:val="en-US" w:eastAsia="zh-CN"/>
              </w:rPr>
              <w:t>13</w:t>
            </w:r>
            <w:r>
              <w:rPr>
                <w:rFonts w:hint="eastAsia"/>
              </w:rPr>
              <w:t>分】：投标人所投报产品较好的响应了招标文件中对产品的要求及描述；从产品整体性能、技术水平看，产品处于国际、国家或行业主流水平；或者本次投标产品比较符合临床需求。</w:t>
            </w:r>
          </w:p>
          <w:p>
            <w:pPr>
              <w:spacing w:line="280" w:lineRule="exact"/>
              <w:rPr>
                <w:rFonts w:hint="eastAsia" w:ascii="宋体" w:hAnsi="宋体" w:cs="仿宋_GB2312"/>
                <w:szCs w:val="21"/>
              </w:rPr>
            </w:pPr>
            <w:r>
              <w:rPr>
                <w:rFonts w:hint="eastAsia"/>
              </w:rPr>
              <w:t>一般【</w:t>
            </w:r>
            <w:r>
              <w:rPr>
                <w:rFonts w:hint="eastAsia"/>
                <w:lang w:val="en-US" w:eastAsia="zh-CN"/>
              </w:rPr>
              <w:t>12</w:t>
            </w:r>
            <w:r>
              <w:rPr>
                <w:rFonts w:hint="eastAsia"/>
              </w:rPr>
              <w:t>分-1分】：投标人所投报产品的技术参数仅能基本满足招标文件对产品的要求及描述的最低要求，产品整体性能、技术水平一般或较落后。或者本次投标产品基本或者不符合临床需求。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3</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售后服务承诺</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20</w:t>
            </w:r>
            <w:r>
              <w:rPr>
                <w:rFonts w:hint="eastAsia" w:ascii="宋体" w:hAnsi="宋体" w:cs="仿宋_GB2312"/>
                <w:szCs w:val="21"/>
              </w:rPr>
              <w:t>分</w:t>
            </w:r>
          </w:p>
        </w:tc>
        <w:tc>
          <w:tcPr>
            <w:tcW w:w="7117" w:type="dxa"/>
            <w:tcBorders>
              <w:right w:val="single" w:color="auto" w:sz="4" w:space="0"/>
            </w:tcBorders>
            <w:noWrap w:val="0"/>
            <w:vAlign w:val="center"/>
          </w:tcPr>
          <w:p>
            <w:pPr>
              <w:spacing w:line="280" w:lineRule="exact"/>
              <w:rPr>
                <w:rFonts w:hint="eastAsia" w:ascii="宋体" w:hAnsi="宋体" w:cs="仿宋_GB2312"/>
                <w:szCs w:val="21"/>
              </w:rPr>
            </w:pPr>
            <w:r>
              <w:rPr>
                <w:rFonts w:hint="eastAsia" w:ascii="宋体" w:hAnsi="宋体" w:cs="仿宋_GB2312"/>
                <w:szCs w:val="21"/>
              </w:rPr>
              <w:t>由评委审核各投标人的投标文件后根据以下标准按优、良、一般三个等级以1分为单位进行打分：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20</w:t>
            </w:r>
            <w:r>
              <w:rPr>
                <w:rFonts w:hint="eastAsia" w:ascii="宋体" w:hAnsi="宋体" w:cs="仿宋_GB2312"/>
                <w:szCs w:val="21"/>
              </w:rPr>
              <w:t>分-</w:t>
            </w:r>
            <w:r>
              <w:rPr>
                <w:rFonts w:hint="eastAsia" w:ascii="宋体" w:hAnsi="宋体" w:cs="仿宋_GB2312"/>
                <w:szCs w:val="21"/>
                <w:lang w:val="en-US" w:eastAsia="zh-CN"/>
              </w:rPr>
              <w:t>14</w:t>
            </w:r>
            <w:r>
              <w:rPr>
                <w:rFonts w:hint="eastAsia" w:ascii="宋体" w:hAnsi="宋体" w:cs="仿宋_GB2312"/>
                <w:szCs w:val="21"/>
              </w:rPr>
              <w:t>分】：投标人有突出的相关售后服务优势，能够很好的满足用户实际使用要求。</w:t>
            </w:r>
          </w:p>
          <w:p>
            <w:pPr>
              <w:spacing w:line="280" w:lineRule="exact"/>
              <w:rPr>
                <w:rFonts w:hint="eastAsia" w:ascii="宋体" w:hAnsi="宋体" w:cs="仿宋_GB2312"/>
                <w:szCs w:val="21"/>
              </w:rPr>
            </w:pPr>
            <w:r>
              <w:rPr>
                <w:rFonts w:hint="eastAsia" w:ascii="宋体" w:hAnsi="宋体" w:cs="仿宋_GB2312"/>
                <w:szCs w:val="21"/>
              </w:rPr>
              <w:t>良【</w:t>
            </w:r>
            <w:r>
              <w:rPr>
                <w:rFonts w:hint="eastAsia" w:ascii="宋体" w:hAnsi="宋体" w:cs="仿宋_GB2312"/>
                <w:szCs w:val="21"/>
                <w:lang w:val="en-US" w:eastAsia="zh-CN"/>
              </w:rPr>
              <w:t>13</w:t>
            </w:r>
            <w:r>
              <w:rPr>
                <w:rFonts w:hint="eastAsia" w:ascii="宋体" w:hAnsi="宋体" w:cs="仿宋_GB2312"/>
                <w:szCs w:val="21"/>
              </w:rPr>
              <w:t>分-</w:t>
            </w:r>
            <w:r>
              <w:rPr>
                <w:rFonts w:hint="eastAsia" w:ascii="宋体" w:hAnsi="宋体" w:cs="仿宋_GB2312"/>
                <w:szCs w:val="21"/>
                <w:lang w:val="en-US" w:eastAsia="zh-CN"/>
              </w:rPr>
              <w:t>6</w:t>
            </w:r>
            <w:r>
              <w:rPr>
                <w:rFonts w:hint="eastAsia" w:ascii="宋体" w:hAnsi="宋体" w:cs="仿宋_GB2312"/>
                <w:szCs w:val="21"/>
              </w:rPr>
              <w:t>分】：投标人提供的相关售后服务，能够完全满足用户实际使用要求。</w:t>
            </w:r>
          </w:p>
          <w:p>
            <w:pPr>
              <w:spacing w:line="280" w:lineRule="exact"/>
              <w:rPr>
                <w:rFonts w:hint="eastAsia" w:ascii="宋体" w:hAnsi="宋体" w:cs="仿宋_GB2312"/>
                <w:szCs w:val="21"/>
              </w:rPr>
            </w:pPr>
            <w:r>
              <w:rPr>
                <w:rFonts w:hint="eastAsia" w:ascii="宋体" w:hAnsi="宋体" w:cs="仿宋_GB2312"/>
                <w:szCs w:val="21"/>
              </w:rPr>
              <w:t>一般【</w:t>
            </w:r>
            <w:r>
              <w:rPr>
                <w:rFonts w:hint="eastAsia" w:ascii="宋体" w:hAnsi="宋体" w:cs="仿宋_GB2312"/>
                <w:szCs w:val="21"/>
                <w:lang w:val="en-US" w:eastAsia="zh-CN"/>
              </w:rPr>
              <w:t>5</w:t>
            </w:r>
            <w:r>
              <w:rPr>
                <w:rFonts w:hint="eastAsia" w:ascii="宋体" w:hAnsi="宋体" w:cs="仿宋_GB2312"/>
                <w:szCs w:val="21"/>
              </w:rPr>
              <w:t>分-1分】：投标人提供的相关售后服务，仅能基本满足用户实际使用要求。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lang w:val="en-US" w:eastAsia="zh-CN"/>
              </w:rPr>
            </w:pPr>
            <w:r>
              <w:rPr>
                <w:rFonts w:hint="eastAsia" w:ascii="宋体" w:hAnsi="宋体" w:cs="仿宋_GB2312"/>
                <w:szCs w:val="21"/>
                <w:lang w:val="en-US" w:eastAsia="zh-CN"/>
              </w:rPr>
              <w:t>4</w:t>
            </w:r>
          </w:p>
        </w:tc>
        <w:tc>
          <w:tcPr>
            <w:tcW w:w="629" w:type="dxa"/>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rPr>
              <w:t>业绩</w:t>
            </w:r>
            <w:r>
              <w:rPr>
                <w:rFonts w:hint="eastAsia" w:ascii="宋体" w:hAnsi="宋体" w:cs="仿宋_GB2312"/>
                <w:szCs w:val="21"/>
                <w:lang w:val="en-US" w:eastAsia="zh-CN"/>
              </w:rPr>
              <w:t>10分</w:t>
            </w:r>
          </w:p>
        </w:tc>
        <w:tc>
          <w:tcPr>
            <w:tcW w:w="7117" w:type="dxa"/>
            <w:tcBorders>
              <w:right w:val="single" w:color="auto" w:sz="4" w:space="0"/>
            </w:tcBorders>
            <w:noWrap w:val="0"/>
            <w:vAlign w:val="center"/>
          </w:tcPr>
          <w:p>
            <w:pPr>
              <w:spacing w:line="280" w:lineRule="exact"/>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自2022年1月1日至今（以合同签订时间或发票显示时间为准），每提供一份与所报产品同品牌规格型号供货业绩的，得2分；本项最高得10分。</w:t>
            </w:r>
          </w:p>
          <w:p>
            <w:pPr>
              <w:spacing w:line="280" w:lineRule="exact"/>
              <w:rPr>
                <w:rFonts w:hint="eastAsia" w:ascii="宋体" w:hAnsi="宋体" w:eastAsia="仿宋_GB2312" w:cs="仿宋_GB2312"/>
                <w:szCs w:val="21"/>
                <w:lang w:val="en-US" w:eastAsia="zh-CN"/>
              </w:rPr>
            </w:pPr>
            <w:r>
              <w:rPr>
                <w:rFonts w:hint="eastAsia" w:ascii="宋体" w:hAnsi="宋体" w:cs="仿宋_GB2312"/>
                <w:szCs w:val="21"/>
                <w:highlight w:val="none"/>
                <w:lang w:val="en-US" w:eastAsia="zh-CN"/>
              </w:rPr>
              <w:t>注，响应文件中需提供完整的合同复印件或者完整的供货发票复印件，否则不得分。</w:t>
            </w:r>
          </w:p>
        </w:tc>
      </w:tr>
    </w:tbl>
    <w:p>
      <w:pPr>
        <w:pStyle w:val="3"/>
        <w:rPr>
          <w:rFonts w:hint="default"/>
          <w:lang w:val="en-US" w:eastAsia="zh-CN"/>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DEB97B-1BF6-42D1-BE1F-381347EDD3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E2556D7-0A41-4488-9520-36107C7D985B}"/>
  </w:font>
  <w:font w:name="仿宋_GB2312">
    <w:panose1 w:val="02010609030101010101"/>
    <w:charset w:val="86"/>
    <w:family w:val="auto"/>
    <w:pitch w:val="default"/>
    <w:sig w:usb0="00000001" w:usb1="080E0000" w:usb2="00000000" w:usb3="00000000" w:csb0="00040000" w:csb1="00000000"/>
    <w:embedRegular r:id="rId3" w:fontKey="{E09A135B-684C-49F6-A791-44D4FAC9A341}"/>
  </w:font>
  <w:font w:name="方正仿宋_GBK">
    <w:panose1 w:val="03000509000000000000"/>
    <w:charset w:val="86"/>
    <w:family w:val="script"/>
    <w:pitch w:val="default"/>
    <w:sig w:usb0="00000001" w:usb1="080E0000" w:usb2="00000000" w:usb3="00000000" w:csb0="00040000" w:csb1="00000000"/>
    <w:embedRegular r:id="rId4" w:fontKey="{0072B2DE-AA62-49FE-984C-58DCF7F73D2A}"/>
  </w:font>
  <w:font w:name="Cambria">
    <w:panose1 w:val="02040503050406030204"/>
    <w:charset w:val="00"/>
    <w:family w:val="roman"/>
    <w:pitch w:val="default"/>
    <w:sig w:usb0="E00006FF" w:usb1="420024FF" w:usb2="02000000" w:usb3="00000000" w:csb0="2000019F" w:csb1="00000000"/>
    <w:embedRegular r:id="rId5" w:fontKey="{772F2E9C-678B-4E32-A65A-E568B2735C62}"/>
  </w:font>
  <w:font w:name="方正小标宋_GBK">
    <w:panose1 w:val="03000509000000000000"/>
    <w:charset w:val="86"/>
    <w:family w:val="script"/>
    <w:pitch w:val="default"/>
    <w:sig w:usb0="00000001" w:usb1="080E0000" w:usb2="00000000" w:usb3="00000000" w:csb0="00040000" w:csb1="00000000"/>
    <w:embedRegular r:id="rId6" w:fontKey="{FE21CB5D-36E9-4A0F-8602-85CF3FE475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05367"/>
    <w:multiLevelType w:val="singleLevel"/>
    <w:tmpl w:val="E4B05367"/>
    <w:lvl w:ilvl="0" w:tentative="0">
      <w:start w:val="2"/>
      <w:numFmt w:val="chineseCounting"/>
      <w:suff w:val="nothing"/>
      <w:lvlText w:val="%1、"/>
      <w:lvlJc w:val="left"/>
      <w:rPr>
        <w:rFonts w:hint="eastAsia"/>
      </w:rPr>
    </w:lvl>
  </w:abstractNum>
  <w:abstractNum w:abstractNumId="1">
    <w:nsid w:val="F437CD21"/>
    <w:multiLevelType w:val="singleLevel"/>
    <w:tmpl w:val="F437CD21"/>
    <w:lvl w:ilvl="0" w:tentative="0">
      <w:start w:val="1"/>
      <w:numFmt w:val="decimal"/>
      <w:suff w:val="nothing"/>
      <w:lvlText w:val="%1、"/>
      <w:lvlJc w:val="left"/>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20E1395"/>
    <w:rsid w:val="033C5388"/>
    <w:rsid w:val="038068C0"/>
    <w:rsid w:val="05271CE3"/>
    <w:rsid w:val="05630D35"/>
    <w:rsid w:val="06EC78A0"/>
    <w:rsid w:val="07B20F86"/>
    <w:rsid w:val="0B385885"/>
    <w:rsid w:val="13E97A8B"/>
    <w:rsid w:val="13EE7E6C"/>
    <w:rsid w:val="16EF04BD"/>
    <w:rsid w:val="172D303F"/>
    <w:rsid w:val="1AFE1664"/>
    <w:rsid w:val="1CC35F44"/>
    <w:rsid w:val="1CE4719A"/>
    <w:rsid w:val="1FBB136E"/>
    <w:rsid w:val="206029C1"/>
    <w:rsid w:val="20B7141E"/>
    <w:rsid w:val="22220DE5"/>
    <w:rsid w:val="22C713AB"/>
    <w:rsid w:val="24B730FC"/>
    <w:rsid w:val="2805210F"/>
    <w:rsid w:val="28576CEA"/>
    <w:rsid w:val="297325AA"/>
    <w:rsid w:val="2990140F"/>
    <w:rsid w:val="2E8E6608"/>
    <w:rsid w:val="316D45ED"/>
    <w:rsid w:val="31B006DA"/>
    <w:rsid w:val="33E617BD"/>
    <w:rsid w:val="34FC59D1"/>
    <w:rsid w:val="36125141"/>
    <w:rsid w:val="366D5496"/>
    <w:rsid w:val="3E7C6B56"/>
    <w:rsid w:val="40966984"/>
    <w:rsid w:val="43063938"/>
    <w:rsid w:val="45E37C15"/>
    <w:rsid w:val="47CB3ECE"/>
    <w:rsid w:val="48161295"/>
    <w:rsid w:val="49687BBC"/>
    <w:rsid w:val="4B621945"/>
    <w:rsid w:val="4BAD7DD3"/>
    <w:rsid w:val="4D411BCB"/>
    <w:rsid w:val="51830DDF"/>
    <w:rsid w:val="532C00AA"/>
    <w:rsid w:val="534D6638"/>
    <w:rsid w:val="54ED5DAB"/>
    <w:rsid w:val="55FE7053"/>
    <w:rsid w:val="65D26704"/>
    <w:rsid w:val="698D1AEB"/>
    <w:rsid w:val="6BA84C7A"/>
    <w:rsid w:val="7048218F"/>
    <w:rsid w:val="70C15D8C"/>
    <w:rsid w:val="73C06E35"/>
    <w:rsid w:val="74F94E64"/>
    <w:rsid w:val="75DE6045"/>
    <w:rsid w:val="77724C80"/>
    <w:rsid w:val="77C265B2"/>
    <w:rsid w:val="78612E89"/>
    <w:rsid w:val="78DB4966"/>
    <w:rsid w:val="7A0A71CB"/>
    <w:rsid w:val="7B4C1F62"/>
    <w:rsid w:val="7B9D6F7B"/>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unhideWhenUsed/>
    <w:qFormat/>
    <w:uiPriority w:val="99"/>
    <w:rPr>
      <w:color w:val="954F72" w:themeColor="followedHyperlink"/>
      <w:u w:val="single"/>
      <w14:textFill>
        <w14:solidFill>
          <w14:schemeClr w14:val="folHlink"/>
        </w14:solidFill>
      </w14:textFill>
    </w:rPr>
  </w:style>
  <w:style w:type="character" w:styleId="12">
    <w:name w:val="Emphasis"/>
    <w:basedOn w:val="10"/>
    <w:qFormat/>
    <w:uiPriority w:val="20"/>
    <w:rPr>
      <w:i/>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未处理的提及1"/>
    <w:basedOn w:val="10"/>
    <w:unhideWhenUsed/>
    <w:qFormat/>
    <w:uiPriority w:val="99"/>
    <w:rPr>
      <w:color w:val="808080"/>
      <w:shd w:val="clear" w:color="auto" w:fill="E6E6E6"/>
    </w:rPr>
  </w:style>
  <w:style w:type="character" w:customStyle="1" w:styleId="18">
    <w:name w:val="apple-converted-space"/>
    <w:basedOn w:val="10"/>
    <w:qFormat/>
    <w:uiPriority w:val="0"/>
  </w:style>
  <w:style w:type="character" w:customStyle="1" w:styleId="19">
    <w:name w:val="未处理的提及2"/>
    <w:basedOn w:val="10"/>
    <w:semiHidden/>
    <w:unhideWhenUsed/>
    <w:qFormat/>
    <w:uiPriority w:val="99"/>
    <w:rPr>
      <w:color w:val="808080"/>
      <w:shd w:val="clear" w:color="auto" w:fill="E6E6E6"/>
    </w:rPr>
  </w:style>
  <w:style w:type="character" w:customStyle="1" w:styleId="20">
    <w:name w:val="批注框文本 字符"/>
    <w:basedOn w:val="10"/>
    <w:link w:val="4"/>
    <w:semiHidden/>
    <w:qFormat/>
    <w:uiPriority w:val="99"/>
    <w:rPr>
      <w:rFonts w:asciiTheme="minorHAnsi" w:hAnsiTheme="minorHAnsi" w:eastAsiaTheme="minorEastAsia" w:cstheme="minorBidi"/>
      <w:kern w:val="2"/>
      <w:sz w:val="18"/>
      <w:szCs w:val="18"/>
    </w:rPr>
  </w:style>
  <w:style w:type="paragraph" w:customStyle="1" w:styleId="21">
    <w:name w:val="Normal_6"/>
    <w:qFormat/>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22">
    <w:name w:val="Normal_7"/>
    <w:qFormat/>
    <w:uiPriority w:val="0"/>
    <w:pPr>
      <w:spacing w:before="120" w:after="240"/>
      <w:jc w:val="both"/>
    </w:pPr>
    <w:rPr>
      <w:rFonts w:asciiTheme="minorHAnsi" w:hAnsiTheme="minorHAnsi" w:eastAsiaTheme="minorHAnsi" w:cstheme="minorBidi"/>
      <w:sz w:val="22"/>
      <w:szCs w:val="22"/>
      <w:lang w:val="ru-RU" w:eastAsia="en-US" w:bidi="ar-SA"/>
    </w:rPr>
  </w:style>
  <w:style w:type="paragraph" w:customStyle="1" w:styleId="23">
    <w:name w:val="Normal_9"/>
    <w:qFormat/>
    <w:uiPriority w:val="0"/>
    <w:pPr>
      <w:spacing w:before="120" w:after="240"/>
      <w:jc w:val="both"/>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0</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2025-01-13T01:30:00Z</cp:lastPrinted>
  <dcterms:modified xsi:type="dcterms:W3CDTF">2025-06-12T06:35:09Z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