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hint="eastAsia" w:ascii="宋体" w:hAnsi="宋体" w:eastAsia="宋体"/>
          <w:b/>
          <w:sz w:val="36"/>
          <w:szCs w:val="21"/>
          <w:lang w:val="en-US" w:eastAsia="zh-CN"/>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污物柜、治疗高柜、储物高柜（202505-4）材料目录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6"/>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lang w:eastAsia="zh-CN"/>
        </w:rPr>
        <w:t>。</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ind w:firstLine="480" w:firstLineChars="200"/>
        <w:rPr>
          <w:rFonts w:hint="eastAsia" w:ascii="宋体" w:hAnsi="宋体" w:eastAsia="宋体" w:cstheme="minorBidi"/>
          <w:b/>
          <w:kern w:val="2"/>
          <w:sz w:val="28"/>
          <w:szCs w:val="28"/>
          <w:lang w:val="en-US" w:eastAsia="zh-CN" w:bidi="ar-SA"/>
        </w:rPr>
      </w:pPr>
      <w:r>
        <w:rPr>
          <w:rFonts w:hint="eastAsia" w:ascii="宋体" w:hAnsi="宋体" w:eastAsia="宋体"/>
          <w:color w:val="auto"/>
          <w:sz w:val="24"/>
          <w:szCs w:val="24"/>
          <w:lang w:val="en-US" w:eastAsia="zh-CN"/>
        </w:rPr>
        <w:t>11、</w:t>
      </w:r>
      <w:r>
        <w:rPr>
          <w:rFonts w:hint="eastAsia" w:ascii="宋体" w:hAnsi="宋体" w:eastAsia="宋体" w:cstheme="minorBidi"/>
          <w:b/>
          <w:kern w:val="2"/>
          <w:sz w:val="28"/>
          <w:szCs w:val="28"/>
          <w:lang w:val="en-US" w:eastAsia="zh-CN" w:bidi="ar-SA"/>
        </w:rPr>
        <w:t>会议桌评分表（见附件6）。</w:t>
      </w:r>
    </w:p>
    <w:p>
      <w:pPr>
        <w:pStyle w:val="2"/>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 xml:space="preserve">   12、产品参数</w:t>
      </w:r>
    </w:p>
    <w:tbl>
      <w:tblPr>
        <w:tblStyle w:val="9"/>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2740"/>
        <w:gridCol w:w="1007"/>
        <w:gridCol w:w="2727"/>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noWrap w:val="0"/>
            <w:vAlign w:val="center"/>
          </w:tcPr>
          <w:p>
            <w:pPr>
              <w:pStyle w:val="3"/>
              <w:tabs>
                <w:tab w:val="right" w:pos="3219"/>
              </w:tabs>
              <w:spacing w:line="360" w:lineRule="exact"/>
              <w:jc w:val="center"/>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包号</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pStyle w:val="3"/>
              <w:tabs>
                <w:tab w:val="right" w:pos="3219"/>
              </w:tabs>
              <w:spacing w:line="360" w:lineRule="exact"/>
              <w:jc w:val="center"/>
              <w:rPr>
                <w:rFonts w:hint="eastAsia" w:ascii="新宋体" w:hAnsi="新宋体" w:eastAsia="新宋体" w:cs="新宋体"/>
                <w:kern w:val="2"/>
                <w:sz w:val="28"/>
                <w:szCs w:val="28"/>
                <w:lang w:val="en-US" w:eastAsia="zh-CN" w:bidi="ar-SA"/>
              </w:rPr>
            </w:pPr>
            <w:r>
              <w:rPr>
                <w:rFonts w:hint="eastAsia" w:ascii="新宋体" w:hAnsi="新宋体" w:eastAsia="新宋体" w:cs="新宋体"/>
                <w:sz w:val="28"/>
                <w:szCs w:val="28"/>
              </w:rPr>
              <w:t>产品名称</w:t>
            </w:r>
          </w:p>
        </w:tc>
        <w:tc>
          <w:tcPr>
            <w:tcW w:w="2740" w:type="dxa"/>
            <w:tcBorders>
              <w:top w:val="single" w:color="000000" w:sz="4" w:space="0"/>
              <w:left w:val="single" w:color="000000" w:sz="4" w:space="0"/>
              <w:bottom w:val="single" w:color="000000" w:sz="4" w:space="0"/>
              <w:right w:val="single" w:color="000000" w:sz="4" w:space="0"/>
            </w:tcBorders>
            <w:noWrap w:val="0"/>
            <w:vAlign w:val="center"/>
          </w:tcPr>
          <w:p>
            <w:pPr>
              <w:pStyle w:val="3"/>
              <w:tabs>
                <w:tab w:val="right" w:pos="3219"/>
              </w:tabs>
              <w:spacing w:line="360" w:lineRule="exact"/>
              <w:jc w:val="center"/>
              <w:rPr>
                <w:rFonts w:hint="eastAsia" w:ascii="新宋体" w:hAnsi="新宋体" w:eastAsia="新宋体" w:cs="新宋体"/>
                <w:kern w:val="2"/>
                <w:sz w:val="28"/>
                <w:szCs w:val="28"/>
                <w:lang w:val="en-US" w:eastAsia="zh-CN" w:bidi="ar-SA"/>
              </w:rPr>
            </w:pPr>
            <w:r>
              <w:rPr>
                <w:rFonts w:hint="eastAsia" w:ascii="新宋体" w:hAnsi="新宋体" w:eastAsia="新宋体" w:cs="新宋体"/>
                <w:kern w:val="2"/>
                <w:sz w:val="28"/>
                <w:szCs w:val="28"/>
                <w:lang w:val="en-US" w:eastAsia="zh-CN" w:bidi="ar-SA"/>
              </w:rPr>
              <w:t>图片</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pStyle w:val="3"/>
              <w:tabs>
                <w:tab w:val="right" w:pos="3219"/>
              </w:tabs>
              <w:spacing w:line="360" w:lineRule="exact"/>
              <w:jc w:val="center"/>
              <w:rPr>
                <w:rFonts w:hint="eastAsia" w:ascii="新宋体" w:hAnsi="新宋体" w:eastAsia="新宋体" w:cs="新宋体"/>
                <w:kern w:val="2"/>
                <w:sz w:val="28"/>
                <w:szCs w:val="28"/>
                <w:lang w:val="en-US" w:eastAsia="zh-CN" w:bidi="ar-SA"/>
              </w:rPr>
            </w:pPr>
            <w:r>
              <w:rPr>
                <w:rFonts w:hint="eastAsia" w:ascii="新宋体" w:hAnsi="新宋体" w:eastAsia="新宋体" w:cs="新宋体"/>
                <w:sz w:val="28"/>
                <w:szCs w:val="28"/>
              </w:rPr>
              <w:t>规格型号</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pStyle w:val="3"/>
              <w:tabs>
                <w:tab w:val="right" w:pos="3219"/>
              </w:tabs>
              <w:spacing w:line="360" w:lineRule="exact"/>
              <w:jc w:val="center"/>
              <w:rPr>
                <w:rFonts w:hint="eastAsia" w:ascii="新宋体" w:hAnsi="新宋体" w:eastAsia="新宋体" w:cs="新宋体"/>
                <w:kern w:val="2"/>
                <w:sz w:val="28"/>
                <w:szCs w:val="28"/>
                <w:lang w:val="en-US" w:eastAsia="zh-CN" w:bidi="ar-SA"/>
              </w:rPr>
            </w:pPr>
            <w:r>
              <w:rPr>
                <w:rFonts w:hint="eastAsia" w:ascii="新宋体" w:hAnsi="新宋体" w:eastAsia="新宋体" w:cs="新宋体"/>
                <w:sz w:val="28"/>
                <w:szCs w:val="28"/>
              </w:rPr>
              <w:t>详细配置</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pStyle w:val="3"/>
              <w:tabs>
                <w:tab w:val="right" w:pos="3219"/>
              </w:tabs>
              <w:spacing w:line="360" w:lineRule="exact"/>
              <w:jc w:val="center"/>
              <w:rPr>
                <w:rFonts w:hint="eastAsia" w:ascii="新宋体" w:hAnsi="新宋体" w:eastAsia="新宋体" w:cs="新宋体"/>
                <w:kern w:val="2"/>
                <w:sz w:val="28"/>
                <w:szCs w:val="28"/>
                <w:lang w:val="en-US" w:eastAsia="zh-CN" w:bidi="ar-SA"/>
              </w:rPr>
            </w:pPr>
            <w:r>
              <w:rPr>
                <w:rFonts w:hint="eastAsia" w:ascii="新宋体" w:hAnsi="新宋体" w:eastAsia="新宋体" w:cs="新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op w:val="single" w:color="000000" w:sz="4" w:space="0"/>
              <w:left w:val="single" w:color="000000" w:sz="4" w:space="0"/>
              <w:right w:val="single" w:color="000000" w:sz="4" w:space="0"/>
            </w:tcBorders>
            <w:noWrap w:val="0"/>
            <w:vAlign w:val="top"/>
          </w:tcPr>
          <w:p>
            <w:pPr>
              <w:rPr>
                <w:rFonts w:hint="default"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1</w:t>
            </w: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治疗高柜</w:t>
            </w:r>
          </w:p>
        </w:tc>
        <w:tc>
          <w:tcPr>
            <w:tcW w:w="27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eastAsia="zh-CN"/>
              </w:rPr>
            </w:pPr>
            <w:r>
              <w:rPr>
                <w:rFonts w:hint="eastAsia" w:ascii="新宋体" w:hAnsi="新宋体" w:eastAsia="新宋体" w:cs="新宋体"/>
                <w:sz w:val="28"/>
                <w:szCs w:val="28"/>
                <w:vertAlign w:val="baseline"/>
                <w:lang w:eastAsia="zh-CN"/>
              </w:rPr>
              <w:drawing>
                <wp:inline distT="0" distB="0" distL="114300" distR="114300">
                  <wp:extent cx="1586865" cy="1185545"/>
                  <wp:effectExtent l="0" t="0" r="13335" b="14605"/>
                  <wp:docPr id="2" name="图片 1" descr="54dbdb9b631d76b4c5dfea2412325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4dbdb9b631d76b4c5dfea2412325b8"/>
                          <pic:cNvPicPr>
                            <a:picLocks noChangeAspect="1"/>
                          </pic:cNvPicPr>
                        </pic:nvPicPr>
                        <pic:blipFill>
                          <a:blip r:embed="rId5"/>
                          <a:stretch>
                            <a:fillRect/>
                          </a:stretch>
                        </pic:blipFill>
                        <pic:spPr>
                          <a:xfrm>
                            <a:off x="0" y="0"/>
                            <a:ext cx="1586865" cy="1185545"/>
                          </a:xfrm>
                          <a:prstGeom prst="rect">
                            <a:avLst/>
                          </a:prstGeom>
                          <a:noFill/>
                          <a:ln>
                            <a:noFill/>
                          </a:ln>
                        </pic:spPr>
                      </pic:pic>
                    </a:graphicData>
                  </a:graphic>
                </wp:inline>
              </w:drawing>
            </w:r>
          </w:p>
        </w:tc>
        <w:tc>
          <w:tcPr>
            <w:tcW w:w="1007"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800*600*2160</w:t>
            </w:r>
          </w:p>
        </w:tc>
        <w:tc>
          <w:tcPr>
            <w:tcW w:w="272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1.基材选用E0级实木颗粒板，柜体</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门板为18mm</w:t>
            </w:r>
            <w:r>
              <w:rPr>
                <w:rFonts w:hint="eastAsia" w:ascii="仿宋_GB2312" w:hAnsi="仿宋_GB2312" w:eastAsia="仿宋_GB2312" w:cs="仿宋_GB2312"/>
                <w:color w:val="000000"/>
                <w:kern w:val="0"/>
                <w:szCs w:val="21"/>
                <w:lang w:val="en-US" w:eastAsia="zh-CN"/>
              </w:rPr>
              <w:t>厚度，</w:t>
            </w:r>
            <w:r>
              <w:rPr>
                <w:rFonts w:hint="eastAsia" w:ascii="仿宋_GB2312" w:hAnsi="仿宋_GB2312" w:eastAsia="仿宋_GB2312" w:cs="仿宋_GB2312"/>
                <w:color w:val="000000"/>
                <w:kern w:val="0"/>
                <w:szCs w:val="21"/>
              </w:rPr>
              <w:t>表面三聚氰胺饰面封边</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采用高温热熔胶，PVC封边皮。</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 ABC缓冲铰链，采用优质的连接件。</w:t>
            </w:r>
          </w:p>
          <w:p>
            <w:pPr>
              <w:widowControl/>
              <w:jc w:val="center"/>
              <w:textAlignment w:val="center"/>
              <w:rPr>
                <w:rFonts w:ascii="仿宋_GB2312" w:hAnsi="仿宋_GB2312" w:eastAsia="仿宋_GB2312" w:cs="仿宋_GB2312"/>
                <w:color w:val="000000"/>
                <w:kern w:val="0"/>
                <w:szCs w:val="21"/>
                <w:highlight w:val="yellow"/>
              </w:rPr>
            </w:pPr>
            <w:r>
              <w:rPr>
                <w:rFonts w:hint="eastAsia" w:ascii="仿宋_GB2312" w:hAnsi="仿宋_GB2312" w:eastAsia="仿宋_GB2312" w:cs="仿宋_GB2312"/>
                <w:color w:val="000000"/>
                <w:kern w:val="0"/>
                <w:szCs w:val="21"/>
                <w:highlight w:val="yellow"/>
              </w:rPr>
              <w:t>3.操作台面板采用25厚防火板，前面鸭嘴状后面直边，不易磕碰易清理，耐磨</w:t>
            </w:r>
            <w:r>
              <w:rPr>
                <w:rFonts w:hint="eastAsia" w:ascii="仿宋_GB2312" w:hAnsi="仿宋_GB2312" w:eastAsia="仿宋_GB2312" w:cs="仿宋_GB2312"/>
                <w:color w:val="000000"/>
                <w:kern w:val="0"/>
                <w:szCs w:val="21"/>
                <w:highlight w:val="yellow"/>
                <w:lang w:val="en-US" w:eastAsia="zh-CN"/>
              </w:rPr>
              <w:t>防</w:t>
            </w:r>
            <w:r>
              <w:rPr>
                <w:rFonts w:hint="eastAsia" w:ascii="仿宋_GB2312" w:hAnsi="仿宋_GB2312" w:eastAsia="仿宋_GB2312" w:cs="仿宋_GB2312"/>
                <w:color w:val="000000"/>
                <w:kern w:val="0"/>
                <w:szCs w:val="21"/>
                <w:highlight w:val="yellow"/>
              </w:rPr>
              <w:t>潮。</w:t>
            </w:r>
          </w:p>
          <w:p>
            <w:pPr>
              <w:rPr>
                <w:rFonts w:hint="eastAsia" w:ascii="新宋体" w:hAnsi="新宋体" w:eastAsia="新宋体" w:cs="新宋体"/>
                <w:sz w:val="28"/>
                <w:szCs w:val="28"/>
                <w:vertAlign w:val="baseline"/>
              </w:rPr>
            </w:pPr>
            <w:r>
              <w:rPr>
                <w:rFonts w:hint="eastAsia" w:ascii="仿宋_GB2312" w:hAnsi="仿宋_GB2312" w:eastAsia="仿宋_GB2312" w:cs="仿宋_GB2312"/>
                <w:color w:val="000000"/>
                <w:kern w:val="0"/>
                <w:szCs w:val="21"/>
              </w:rPr>
              <w:t>4.嵌入式扣手，铝合金压铸成型，静电喷塑。</w:t>
            </w:r>
          </w:p>
        </w:tc>
        <w:tc>
          <w:tcPr>
            <w:tcW w:w="5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污物高柜</w:t>
            </w:r>
          </w:p>
        </w:tc>
        <w:tc>
          <w:tcPr>
            <w:tcW w:w="27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rPr>
            </w:pPr>
            <w:r>
              <w:rPr>
                <w:rFonts w:hint="eastAsia" w:ascii="新宋体" w:hAnsi="新宋体" w:eastAsia="新宋体" w:cs="新宋体"/>
                <w:sz w:val="28"/>
                <w:szCs w:val="28"/>
                <w:vertAlign w:val="baseline"/>
                <w:lang w:eastAsia="zh-CN"/>
              </w:rPr>
              <w:drawing>
                <wp:inline distT="0" distB="0" distL="114300" distR="114300">
                  <wp:extent cx="756920" cy="1373505"/>
                  <wp:effectExtent l="0" t="0" r="5080" b="17145"/>
                  <wp:docPr id="1" name="图片 2" descr="3c743050777ff9c6f97d6f9857814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c743050777ff9c6f97d6f98578145b"/>
                          <pic:cNvPicPr>
                            <a:picLocks noChangeAspect="1"/>
                          </pic:cNvPicPr>
                        </pic:nvPicPr>
                        <pic:blipFill>
                          <a:blip r:embed="rId6"/>
                          <a:stretch>
                            <a:fillRect/>
                          </a:stretch>
                        </pic:blipFill>
                        <pic:spPr>
                          <a:xfrm>
                            <a:off x="0" y="0"/>
                            <a:ext cx="756920" cy="1373505"/>
                          </a:xfrm>
                          <a:prstGeom prst="rect">
                            <a:avLst/>
                          </a:prstGeom>
                          <a:noFill/>
                          <a:ln>
                            <a:noFill/>
                          </a:ln>
                        </pic:spPr>
                      </pic:pic>
                    </a:graphicData>
                  </a:graphic>
                </wp:inline>
              </w:drawing>
            </w:r>
          </w:p>
        </w:tc>
        <w:tc>
          <w:tcPr>
            <w:tcW w:w="1007"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新宋体" w:hAnsi="新宋体" w:eastAsia="新宋体" w:cs="新宋体"/>
                <w:sz w:val="28"/>
                <w:szCs w:val="28"/>
                <w:highlight w:val="none"/>
                <w:vertAlign w:val="baseline"/>
                <w:lang w:val="en-US" w:eastAsia="zh-CN"/>
              </w:rPr>
            </w:pPr>
            <w:r>
              <w:rPr>
                <w:rFonts w:hint="eastAsia" w:ascii="新宋体" w:hAnsi="新宋体" w:eastAsia="新宋体" w:cs="新宋体"/>
                <w:sz w:val="28"/>
                <w:szCs w:val="28"/>
                <w:highlight w:val="none"/>
                <w:vertAlign w:val="baseline"/>
                <w:lang w:val="en-US" w:eastAsia="zh-CN"/>
              </w:rPr>
              <w:t>1200*600*2160</w:t>
            </w:r>
          </w:p>
        </w:tc>
        <w:tc>
          <w:tcPr>
            <w:tcW w:w="272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1.基材选用E0级实木颗粒板，柜体、门板为18mm厚度，表面三聚氰胺饰面，封边采用高温热熔胶，PVC封边皮。</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2. ABC缓冲铰链，采用优质的连接件。</w:t>
            </w:r>
          </w:p>
          <w:p>
            <w:pPr>
              <w:widowControl/>
              <w:jc w:val="center"/>
              <w:textAlignment w:val="center"/>
              <w:rPr>
                <w:rFonts w:ascii="仿宋_GB2312" w:hAnsi="仿宋_GB2312" w:eastAsia="仿宋_GB2312" w:cs="仿宋_GB2312"/>
                <w:color w:val="000000"/>
                <w:kern w:val="0"/>
                <w:szCs w:val="21"/>
                <w:highlight w:val="yellow"/>
              </w:rPr>
            </w:pPr>
            <w:r>
              <w:rPr>
                <w:rFonts w:hint="eastAsia" w:ascii="仿宋_GB2312" w:hAnsi="仿宋_GB2312" w:eastAsia="仿宋_GB2312" w:cs="仿宋_GB2312"/>
                <w:color w:val="000000"/>
                <w:kern w:val="0"/>
                <w:szCs w:val="21"/>
                <w:highlight w:val="yellow"/>
              </w:rPr>
              <w:t>3.操作台面板采用25厚防火板，前面鸭嘴状后面直边，不易磕碰易清理，耐磨</w:t>
            </w:r>
            <w:r>
              <w:rPr>
                <w:rFonts w:hint="eastAsia" w:ascii="仿宋_GB2312" w:hAnsi="仿宋_GB2312" w:eastAsia="仿宋_GB2312" w:cs="仿宋_GB2312"/>
                <w:color w:val="000000"/>
                <w:kern w:val="0"/>
                <w:szCs w:val="21"/>
                <w:highlight w:val="yellow"/>
                <w:lang w:val="en-US" w:eastAsia="zh-CN"/>
              </w:rPr>
              <w:t>防</w:t>
            </w:r>
            <w:r>
              <w:rPr>
                <w:rFonts w:hint="eastAsia" w:ascii="仿宋_GB2312" w:hAnsi="仿宋_GB2312" w:eastAsia="仿宋_GB2312" w:cs="仿宋_GB2312"/>
                <w:color w:val="000000"/>
                <w:kern w:val="0"/>
                <w:szCs w:val="21"/>
                <w:highlight w:val="yellow"/>
              </w:rPr>
              <w:t>潮。</w:t>
            </w:r>
          </w:p>
          <w:p>
            <w:pP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4.嵌入式扣手，铝合金压铸成型，静电喷塑。</w:t>
            </w:r>
          </w:p>
          <w:p>
            <w:pPr>
              <w:rPr>
                <w:rFonts w:hint="default"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yellow"/>
                <w:lang w:val="en-US" w:eastAsia="zh-CN"/>
              </w:rPr>
              <w:t>5.不锈钢自动回位垃圾桶盖</w:t>
            </w:r>
          </w:p>
        </w:tc>
        <w:tc>
          <w:tcPr>
            <w:tcW w:w="5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储物高柜</w:t>
            </w:r>
          </w:p>
        </w:tc>
        <w:tc>
          <w:tcPr>
            <w:tcW w:w="27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eastAsia="zh-CN"/>
              </w:rPr>
            </w:pPr>
            <w:r>
              <w:rPr>
                <w:rFonts w:hint="eastAsia" w:ascii="新宋体" w:hAnsi="新宋体" w:eastAsia="新宋体" w:cs="新宋体"/>
                <w:sz w:val="28"/>
                <w:szCs w:val="28"/>
                <w:vertAlign w:val="baseline"/>
                <w:lang w:eastAsia="zh-CN"/>
              </w:rPr>
              <w:drawing>
                <wp:inline distT="0" distB="0" distL="114300" distR="114300">
                  <wp:extent cx="1435100" cy="1143635"/>
                  <wp:effectExtent l="0" t="0" r="12700" b="18415"/>
                  <wp:docPr id="3" name="图片 3" descr="e2b2032f4797885737bc1e36421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b2032f4797885737bc1e364214194"/>
                          <pic:cNvPicPr>
                            <a:picLocks noChangeAspect="1"/>
                          </pic:cNvPicPr>
                        </pic:nvPicPr>
                        <pic:blipFill>
                          <a:blip r:embed="rId7"/>
                          <a:stretch>
                            <a:fillRect/>
                          </a:stretch>
                        </pic:blipFill>
                        <pic:spPr>
                          <a:xfrm>
                            <a:off x="0" y="0"/>
                            <a:ext cx="1435100" cy="1143635"/>
                          </a:xfrm>
                          <a:prstGeom prst="rect">
                            <a:avLst/>
                          </a:prstGeom>
                          <a:noFill/>
                          <a:ln>
                            <a:noFill/>
                          </a:ln>
                        </pic:spPr>
                      </pic:pic>
                    </a:graphicData>
                  </a:graphic>
                </wp:inline>
              </w:drawing>
            </w:r>
          </w:p>
        </w:tc>
        <w:tc>
          <w:tcPr>
            <w:tcW w:w="1007"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800*520*2160</w:t>
            </w:r>
          </w:p>
        </w:tc>
        <w:tc>
          <w:tcPr>
            <w:tcW w:w="272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1.基材选用E0级实木颗粒板，柜体、门板为18mm厚度，表面三聚氰胺饰面，封边采用高温热熔胶，PVC封边皮。</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 ABC缓冲铰链，采用优质的连接件。</w:t>
            </w:r>
          </w:p>
          <w:p>
            <w:pPr>
              <w:widowControl/>
              <w:jc w:val="center"/>
              <w:textAlignment w:val="center"/>
              <w:rPr>
                <w:rFonts w:hint="eastAsia" w:ascii="新宋体" w:hAnsi="新宋体" w:eastAsia="新宋体" w:cs="新宋体"/>
                <w:sz w:val="28"/>
                <w:szCs w:val="28"/>
                <w:vertAlign w:val="baseline"/>
              </w:rPr>
            </w:pPr>
            <w:r>
              <w:rPr>
                <w:rFonts w:hint="eastAsia"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color w:val="000000"/>
                <w:kern w:val="0"/>
                <w:szCs w:val="21"/>
              </w:rPr>
              <w:t>嵌入式扣手，铝合金压铸成型，静电喷塑。</w:t>
            </w:r>
          </w:p>
        </w:tc>
        <w:tc>
          <w:tcPr>
            <w:tcW w:w="5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r>
              <w:rPr>
                <w:rFonts w:hint="eastAsia" w:ascii="新宋体" w:hAnsi="新宋体" w:eastAsia="新宋体" w:cs="新宋体"/>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新宋体" w:hAnsi="新宋体" w:eastAsia="新宋体" w:cs="新宋体"/>
                <w:sz w:val="28"/>
                <w:szCs w:val="28"/>
                <w:vertAlign w:val="baseline"/>
                <w:lang w:val="en-US" w:eastAsia="zh-CN"/>
              </w:rPr>
            </w:pPr>
          </w:p>
        </w:tc>
        <w:tc>
          <w:tcPr>
            <w:tcW w:w="852"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新宋体" w:hAnsi="新宋体" w:eastAsia="新宋体" w:cs="新宋体"/>
                <w:sz w:val="28"/>
                <w:szCs w:val="28"/>
                <w:vertAlign w:val="baseline"/>
                <w:lang w:val="en-US" w:eastAsia="zh-CN"/>
              </w:rPr>
            </w:pPr>
          </w:p>
        </w:tc>
        <w:tc>
          <w:tcPr>
            <w:tcW w:w="274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rPr>
            </w:pPr>
          </w:p>
        </w:tc>
        <w:tc>
          <w:tcPr>
            <w:tcW w:w="100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p>
        </w:tc>
        <w:tc>
          <w:tcPr>
            <w:tcW w:w="272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仿宋_GB2312" w:hAnsi="仿宋_GB2312" w:eastAsia="仿宋_GB2312" w:cs="仿宋_GB2312"/>
                <w:color w:val="000000"/>
                <w:kern w:val="0"/>
                <w:szCs w:val="21"/>
              </w:rPr>
            </w:pPr>
          </w:p>
        </w:tc>
        <w:tc>
          <w:tcPr>
            <w:tcW w:w="50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新宋体" w:hAnsi="新宋体" w:eastAsia="新宋体" w:cs="新宋体"/>
                <w:sz w:val="28"/>
                <w:szCs w:val="28"/>
                <w:vertAlign w:val="baseline"/>
                <w:lang w:val="en-US" w:eastAsia="zh-CN"/>
              </w:rPr>
            </w:pPr>
          </w:p>
        </w:tc>
      </w:tr>
    </w:tbl>
    <w:p>
      <w:pPr>
        <w:pStyle w:val="2"/>
        <w:rPr>
          <w:rFonts w:hint="default" w:ascii="宋体" w:hAnsi="宋体" w:eastAsia="宋体" w:cstheme="minorBidi"/>
          <w:b/>
          <w:kern w:val="2"/>
          <w:sz w:val="28"/>
          <w:szCs w:val="28"/>
          <w:lang w:val="en-US" w:eastAsia="zh-CN" w:bidi="ar-SA"/>
        </w:rPr>
      </w:pPr>
    </w:p>
    <w:p>
      <w:pPr>
        <w:rPr>
          <w:rFonts w:ascii="宋体" w:hAnsi="宋体" w:eastAsia="宋体"/>
          <w:sz w:val="24"/>
          <w:szCs w:val="24"/>
        </w:rPr>
      </w:pP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jc w:val="center"/>
        <w:rPr>
          <w:rFonts w:ascii="黑体" w:hAnsi="宋体" w:eastAsia="黑体"/>
          <w:sz w:val="24"/>
          <w:szCs w:val="52"/>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line="276" w:lineRule="auto"/>
        <w:jc w:val="center"/>
        <w:rPr>
          <w:rFonts w:hint="eastAsia" w:ascii="黑体" w:hAnsi="宋体" w:eastAsia="黑体"/>
          <w:sz w:val="48"/>
          <w:szCs w:val="48"/>
          <w:lang w:val="en-US" w:eastAsia="zh-CN"/>
        </w:rPr>
      </w:pPr>
      <w:r>
        <w:rPr>
          <w:rFonts w:hint="eastAsia" w:ascii="黑体" w:hAnsi="宋体" w:eastAsia="黑体"/>
          <w:sz w:val="48"/>
          <w:szCs w:val="48"/>
          <w:lang w:val="en-US" w:eastAsia="zh-CN"/>
        </w:rPr>
        <w:t>污物柜、治疗高柜、储物高柜</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编号（202505-4）</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9"/>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87"/>
        <w:gridCol w:w="1295"/>
        <w:gridCol w:w="928"/>
        <w:gridCol w:w="1037"/>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187"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pPr>
              <w:rPr>
                <w:rFonts w:hint="default" w:eastAsiaTheme="minorEastAsia"/>
                <w:lang w:val="en-US" w:eastAsia="zh-CN"/>
              </w:rPr>
            </w:pPr>
            <w:r>
              <w:rPr>
                <w:rFonts w:hint="eastAsia"/>
                <w:lang w:val="en-US" w:eastAsia="zh-CN"/>
              </w:rPr>
              <w:t>规格</w:t>
            </w:r>
          </w:p>
        </w:tc>
        <w:tc>
          <w:tcPr>
            <w:tcW w:w="928"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单价</w:t>
            </w:r>
          </w:p>
        </w:tc>
        <w:tc>
          <w:tcPr>
            <w:tcW w:w="1020" w:type="dxa"/>
            <w:vAlign w:val="center"/>
          </w:tcPr>
          <w:p>
            <w:pPr>
              <w:rPr>
                <w:rFonts w:hint="default"/>
                <w:lang w:val="en-US" w:eastAsia="zh-CN"/>
              </w:rPr>
            </w:pPr>
            <w:r>
              <w:rPr>
                <w:rFonts w:hint="eastAsia"/>
                <w:lang w:val="en-US" w:eastAsia="zh-CN"/>
              </w:rPr>
              <w:t>总价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18" w:type="dxa"/>
            <w:vMerge w:val="restart"/>
          </w:tcPr>
          <w:p>
            <w:pPr>
              <w:rPr>
                <w:rFonts w:hint="eastAsia" w:eastAsiaTheme="minorEastAsia"/>
                <w:lang w:val="en-US" w:eastAsia="zh-CN"/>
              </w:rPr>
            </w:pPr>
            <w:r>
              <w:rPr>
                <w:rFonts w:hint="eastAsia"/>
                <w:lang w:val="en-US" w:eastAsia="zh-CN"/>
              </w:rPr>
              <w:t>1</w:t>
            </w:r>
          </w:p>
        </w:tc>
        <w:tc>
          <w:tcPr>
            <w:tcW w:w="1187" w:type="dxa"/>
            <w:vAlign w:val="top"/>
          </w:tcPr>
          <w:p>
            <w:pPr>
              <w:rPr>
                <w:rFonts w:hint="default" w:ascii="宋体" w:hAnsi="宋体" w:eastAsia="宋体" w:cs="宋体"/>
                <w:color w:val="333333"/>
                <w:szCs w:val="21"/>
                <w:shd w:val="clear" w:color="auto" w:fill="FFFFFF"/>
                <w:lang w:val="en-US" w:eastAsia="zh-CN"/>
              </w:rPr>
            </w:pPr>
            <w:r>
              <w:rPr>
                <w:rFonts w:hint="eastAsia" w:ascii="宋体" w:hAnsi="宋体" w:eastAsia="宋体" w:cs="宋体"/>
                <w:color w:val="333333"/>
                <w:szCs w:val="21"/>
                <w:shd w:val="clear" w:color="auto" w:fill="FFFFFF"/>
                <w:lang w:val="en-US" w:eastAsia="zh-CN"/>
              </w:rPr>
              <w:t>治疗高柜</w:t>
            </w:r>
          </w:p>
        </w:tc>
        <w:tc>
          <w:tcPr>
            <w:tcW w:w="1295" w:type="dxa"/>
            <w:vAlign w:val="top"/>
          </w:tcPr>
          <w:p>
            <w:pPr>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800*600*2160</w:t>
            </w:r>
          </w:p>
        </w:tc>
        <w:tc>
          <w:tcPr>
            <w:tcW w:w="928" w:type="dxa"/>
            <w:vAlign w:val="top"/>
          </w:tcPr>
          <w:p>
            <w:pPr>
              <w:rPr>
                <w:rFonts w:hint="default" w:ascii="新宋体" w:hAnsi="新宋体" w:eastAsia="新宋体" w:cs="新宋体"/>
                <w:kern w:val="2"/>
                <w:sz w:val="28"/>
                <w:szCs w:val="28"/>
                <w:vertAlign w:val="baseline"/>
                <w:lang w:val="en-US" w:eastAsia="zh-CN" w:bidi="ar-SA"/>
              </w:rPr>
            </w:pPr>
            <w:r>
              <w:rPr>
                <w:rFonts w:hint="eastAsia" w:ascii="新宋体" w:hAnsi="新宋体" w:eastAsia="新宋体" w:cs="新宋体"/>
                <w:sz w:val="28"/>
                <w:szCs w:val="28"/>
                <w:vertAlign w:val="baseline"/>
                <w:lang w:val="en-US" w:eastAsia="zh-CN"/>
              </w:rPr>
              <w:t>7</w:t>
            </w:r>
          </w:p>
        </w:tc>
        <w:tc>
          <w:tcPr>
            <w:tcW w:w="1037" w:type="dxa"/>
          </w:tcPr>
          <w:p/>
        </w:tc>
        <w:tc>
          <w:tcPr>
            <w:tcW w:w="1020"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18" w:type="dxa"/>
            <w:vMerge w:val="continue"/>
          </w:tcPr>
          <w:p>
            <w:pPr>
              <w:rPr>
                <w:rFonts w:hint="eastAsia"/>
                <w:lang w:val="en-US" w:eastAsia="zh-CN"/>
              </w:rPr>
            </w:pPr>
          </w:p>
        </w:tc>
        <w:tc>
          <w:tcPr>
            <w:tcW w:w="1187" w:type="dxa"/>
            <w:vAlign w:val="top"/>
          </w:tcPr>
          <w:p>
            <w:pPr>
              <w:rPr>
                <w:rFonts w:hint="default" w:ascii="宋体" w:hAnsi="宋体" w:eastAsia="宋体" w:cs="宋体"/>
                <w:color w:val="333333"/>
                <w:szCs w:val="21"/>
                <w:shd w:val="clear" w:color="auto" w:fill="FFFFFF"/>
                <w:lang w:val="en-US" w:eastAsia="zh-CN"/>
              </w:rPr>
            </w:pPr>
            <w:r>
              <w:rPr>
                <w:rFonts w:hint="eastAsia" w:ascii="宋体" w:hAnsi="宋体" w:eastAsia="宋体" w:cs="宋体"/>
                <w:color w:val="333333"/>
                <w:szCs w:val="21"/>
                <w:shd w:val="clear" w:color="auto" w:fill="FFFFFF"/>
                <w:lang w:val="en-US" w:eastAsia="zh-CN"/>
              </w:rPr>
              <w:t>污物高柜</w:t>
            </w:r>
          </w:p>
        </w:tc>
        <w:tc>
          <w:tcPr>
            <w:tcW w:w="1295" w:type="dxa"/>
            <w:vAlign w:val="top"/>
          </w:tcPr>
          <w:p>
            <w:pPr>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1200*600*2160</w:t>
            </w:r>
          </w:p>
        </w:tc>
        <w:tc>
          <w:tcPr>
            <w:tcW w:w="928" w:type="dxa"/>
            <w:vAlign w:val="top"/>
          </w:tcPr>
          <w:p>
            <w:pPr>
              <w:rPr>
                <w:rFonts w:hint="default" w:ascii="新宋体" w:hAnsi="新宋体" w:eastAsia="新宋体" w:cs="新宋体"/>
                <w:kern w:val="2"/>
                <w:sz w:val="28"/>
                <w:szCs w:val="28"/>
                <w:vertAlign w:val="baseline"/>
                <w:lang w:val="en-US" w:eastAsia="zh-CN" w:bidi="ar-SA"/>
              </w:rPr>
            </w:pPr>
            <w:r>
              <w:rPr>
                <w:rFonts w:hint="eastAsia" w:ascii="新宋体" w:hAnsi="新宋体" w:eastAsia="新宋体" w:cs="新宋体"/>
                <w:sz w:val="28"/>
                <w:szCs w:val="28"/>
                <w:vertAlign w:val="baseline"/>
                <w:lang w:val="en-US" w:eastAsia="zh-CN"/>
              </w:rPr>
              <w:t>1</w:t>
            </w:r>
          </w:p>
        </w:tc>
        <w:tc>
          <w:tcPr>
            <w:tcW w:w="1037" w:type="dxa"/>
          </w:tcPr>
          <w:p/>
        </w:tc>
        <w:tc>
          <w:tcPr>
            <w:tcW w:w="1020"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18" w:type="dxa"/>
            <w:vMerge w:val="continue"/>
          </w:tcPr>
          <w:p>
            <w:pPr>
              <w:rPr>
                <w:rFonts w:hint="eastAsia"/>
                <w:lang w:val="en-US" w:eastAsia="zh-CN"/>
              </w:rPr>
            </w:pPr>
          </w:p>
        </w:tc>
        <w:tc>
          <w:tcPr>
            <w:tcW w:w="1187" w:type="dxa"/>
            <w:vAlign w:val="top"/>
          </w:tcPr>
          <w:p>
            <w:pPr>
              <w:rPr>
                <w:rFonts w:hint="default" w:ascii="宋体" w:hAnsi="宋体" w:eastAsia="宋体" w:cs="宋体"/>
                <w:color w:val="333333"/>
                <w:szCs w:val="21"/>
                <w:shd w:val="clear" w:color="auto" w:fill="FFFFFF"/>
                <w:lang w:val="en-US" w:eastAsia="zh-CN"/>
              </w:rPr>
            </w:pPr>
            <w:r>
              <w:rPr>
                <w:rFonts w:hint="eastAsia" w:ascii="宋体" w:hAnsi="宋体" w:eastAsia="宋体" w:cs="宋体"/>
                <w:color w:val="333333"/>
                <w:szCs w:val="21"/>
                <w:shd w:val="clear" w:color="auto" w:fill="FFFFFF"/>
                <w:lang w:val="en-US" w:eastAsia="zh-CN"/>
              </w:rPr>
              <w:t>储物高柜</w:t>
            </w:r>
          </w:p>
        </w:tc>
        <w:tc>
          <w:tcPr>
            <w:tcW w:w="1295" w:type="dxa"/>
            <w:vAlign w:val="top"/>
          </w:tcPr>
          <w:p>
            <w:pPr>
              <w:rPr>
                <w:rFonts w:hint="eastAsia"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lang w:val="en-US" w:eastAsia="zh-CN"/>
              </w:rPr>
              <w:t>800*520*2160</w:t>
            </w:r>
          </w:p>
        </w:tc>
        <w:tc>
          <w:tcPr>
            <w:tcW w:w="928" w:type="dxa"/>
            <w:vAlign w:val="top"/>
          </w:tcPr>
          <w:p>
            <w:pPr>
              <w:rPr>
                <w:rFonts w:hint="default" w:ascii="新宋体" w:hAnsi="新宋体" w:eastAsia="新宋体" w:cs="新宋体"/>
                <w:kern w:val="2"/>
                <w:sz w:val="28"/>
                <w:szCs w:val="28"/>
                <w:vertAlign w:val="baseline"/>
                <w:lang w:val="en-US" w:eastAsia="zh-CN" w:bidi="ar-SA"/>
              </w:rPr>
            </w:pPr>
            <w:r>
              <w:rPr>
                <w:rFonts w:hint="eastAsia" w:ascii="新宋体" w:hAnsi="新宋体" w:eastAsia="新宋体" w:cs="新宋体"/>
                <w:sz w:val="28"/>
                <w:szCs w:val="28"/>
                <w:vertAlign w:val="baseline"/>
                <w:lang w:val="en-US" w:eastAsia="zh-CN"/>
              </w:rPr>
              <w:t>3</w:t>
            </w:r>
          </w:p>
        </w:tc>
        <w:tc>
          <w:tcPr>
            <w:tcW w:w="1037" w:type="dxa"/>
          </w:tcPr>
          <w:p/>
        </w:tc>
        <w:tc>
          <w:tcPr>
            <w:tcW w:w="1020"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65" w:type="dxa"/>
            <w:gridSpan w:val="5"/>
          </w:tcPr>
          <w:p>
            <w:r>
              <w:rPr>
                <w:rFonts w:hint="eastAsia"/>
                <w:lang w:val="en-US" w:eastAsia="zh-CN"/>
              </w:rPr>
              <w:t>合计：</w:t>
            </w:r>
          </w:p>
        </w:tc>
        <w:tc>
          <w:tcPr>
            <w:tcW w:w="1020" w:type="dxa"/>
          </w:tcPr>
          <w:p/>
        </w:tc>
        <w:tc>
          <w:tcPr>
            <w:tcW w:w="1020" w:type="dxa"/>
          </w:tcPr>
          <w:p/>
        </w:tc>
        <w:tc>
          <w:tcPr>
            <w:tcW w:w="1020" w:type="dxa"/>
          </w:tcPr>
          <w:p/>
        </w:tc>
      </w:tr>
    </w:tbl>
    <w:p>
      <w:pPr>
        <w:pStyle w:val="2"/>
        <w:numPr>
          <w:ilvl w:val="0"/>
          <w:numId w:val="0"/>
        </w:numPr>
        <w:ind w:firstLine="420" w:firstLineChars="200"/>
        <w:rPr>
          <w:rFonts w:hint="default"/>
          <w:lang w:val="en-US" w:eastAsia="zh-CN"/>
        </w:rPr>
      </w:pPr>
      <w:r>
        <w:rPr>
          <w:rFonts w:hint="eastAsia" w:ascii="宋体" w:hAnsi="宋体" w:eastAsia="宋体" w:cs="宋体"/>
          <w:i w:val="0"/>
          <w:color w:val="auto"/>
          <w:kern w:val="0"/>
          <w:sz w:val="21"/>
          <w:szCs w:val="21"/>
          <w:u w:val="none"/>
          <w:lang w:val="en-US" w:eastAsia="zh-CN" w:bidi="ar"/>
        </w:rPr>
        <w:t>注：现有需接入UPS设备合计功率 4240W，要求质保三年（本报价包含安装及所需配件、材料、人工费、运输费、税费等所有费用）</w:t>
      </w:r>
    </w:p>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黑体" w:hAnsi="宋体" w:eastAsia="黑体"/>
                <w:b w:val="0"/>
                <w:bCs w:val="0"/>
                <w:sz w:val="28"/>
                <w:szCs w:val="28"/>
                <w:lang w:val="en-US" w:eastAsia="zh-CN"/>
              </w:rPr>
              <w:t>污物柜、治疗高柜、储物高柜</w:t>
            </w:r>
            <w:r>
              <w:rPr>
                <w:rFonts w:hint="eastAsia" w:asciiTheme="majorEastAsia" w:hAnsiTheme="majorEastAsia" w:eastAsiaTheme="majorEastAsia" w:cstheme="majorEastAsia"/>
                <w:b w:val="0"/>
                <w:bCs w:val="0"/>
                <w:sz w:val="28"/>
                <w:szCs w:val="28"/>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6"/>
        <w:adjustRightInd w:val="0"/>
        <w:spacing w:before="160" w:after="160"/>
        <w:ind w:firstLine="0" w:firstLineChars="0"/>
        <w:contextualSpacing/>
        <w:jc w:val="left"/>
        <w:rPr>
          <w:rFonts w:hint="default" w:ascii="宋体" w:hAnsi="宋体" w:eastAsia="宋体"/>
          <w:b/>
          <w:bCs w:val="0"/>
          <w:sz w:val="28"/>
          <w:szCs w:val="28"/>
          <w:lang w:val="en-US" w:eastAsia="zh-CN"/>
        </w:rPr>
      </w:pPr>
      <w:bookmarkStart w:id="3" w:name="_GoBack"/>
      <w:r>
        <w:rPr>
          <w:rFonts w:hint="eastAsia" w:ascii="宋体" w:hAnsi="宋体" w:eastAsia="宋体"/>
          <w:b/>
          <w:bCs w:val="0"/>
          <w:sz w:val="28"/>
          <w:szCs w:val="28"/>
          <w:lang w:val="en-US" w:eastAsia="zh-CN"/>
        </w:rPr>
        <w:t>附件6：评分表</w:t>
      </w:r>
    </w:p>
    <w:p>
      <w:pPr>
        <w:widowControl/>
        <w:adjustRightInd w:val="0"/>
        <w:spacing w:before="160" w:after="160"/>
        <w:contextualSpacing/>
        <w:jc w:val="left"/>
        <w:rPr>
          <w:rFonts w:ascii="宋体" w:hAnsi="宋体" w:eastAsia="宋体"/>
          <w:bCs/>
          <w:szCs w:val="21"/>
        </w:rPr>
      </w:pPr>
    </w:p>
    <w:tbl>
      <w:tblPr>
        <w:tblStyle w:val="8"/>
        <w:tblW w:w="8437"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bookmarkStart w:id="2" w:name="OLE_LINK1" w:colFirst="3" w:colLast="6"/>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358"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bookmarkEnd w:id="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358" w:type="dxa"/>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sz w:val="21"/>
              </w:rPr>
              <mc:AlternateContent>
                <mc:Choice Requires="wps">
                  <w:drawing>
                    <wp:anchor distT="0" distB="0" distL="114300" distR="114300" simplePos="0" relativeHeight="251659264" behindDoc="0" locked="0" layoutInCell="1" hidden="1" allowOverlap="1">
                      <wp:simplePos x="0" y="0"/>
                      <wp:positionH relativeFrom="column">
                        <wp:posOffset>-2212340</wp:posOffset>
                      </wp:positionH>
                      <wp:positionV relativeFrom="paragraph">
                        <wp:posOffset>-800100</wp:posOffset>
                      </wp:positionV>
                      <wp:extent cx="63500" cy="63500"/>
                      <wp:effectExtent l="6350" t="6350" r="6350" b="6350"/>
                      <wp:wrapNone/>
                      <wp:docPr id="4"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74.2pt;margin-top:-63pt;height:5pt;width:5pt;visibility:hidden;z-index:251659264;v-text-anchor:middle;mso-width-relative:page;mso-height-relative:page;" fillcolor="#5B9BD5 [3204]" filled="t" stroked="t" coordsize="21600,21600" o:gfxdata="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JlwVXfdAAAADwEAAA8AAAAAAAAAAQAgAAAA&#10;IgAAAGRycy9kb3ducmV2LnhtbFBLAQIUABQAAAAIAIdO4kDF9eTKsgQAAMAHAAAOAAAAAAAAAAEA&#10;IAAAACwBAABkcnMvZTJvRG9jLnhtbFBLBQYAAAAABgAGAFkBAABQCAAAAAA=&#10;">
                      <v:fill on="t" focussize="0,0"/>
                      <v:stroke weight="1pt" color="#41719C [3204]" miterlimit="8" joinstyle="miter"/>
                      <v:imagedata o:title=""/>
                      <o:lock v:ext="edit" aspectratio="f"/>
                    </v:rect>
                  </w:pict>
                </mc:Fallback>
              </mc:AlternateContent>
            </w: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6358"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358"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注，采购文件中需提供完整的合同复印件或者完整的供货发票复印件，否则不得分。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079" w:type="dxa"/>
            <w:gridSpan w:val="3"/>
            <w:tcBorders>
              <w:top w:val="single" w:color="auto" w:sz="4" w:space="0"/>
            </w:tcBorders>
            <w:noWrap w:val="0"/>
            <w:vAlign w:val="center"/>
          </w:tcPr>
          <w:p>
            <w:pPr>
              <w:spacing w:line="28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tc>
        <w:tc>
          <w:tcPr>
            <w:tcW w:w="6358" w:type="dxa"/>
            <w:noWrap w:val="0"/>
            <w:vAlign w:val="center"/>
          </w:tcPr>
          <w:p>
            <w:pPr>
              <w:spacing w:line="280" w:lineRule="exact"/>
              <w:rPr>
                <w:rFonts w:hint="eastAsia" w:ascii="宋体" w:hAnsi="宋体" w:cs="仿宋_GB2312"/>
                <w:szCs w:val="21"/>
              </w:rPr>
            </w:pPr>
          </w:p>
        </w:tc>
      </w:tr>
    </w:tbl>
    <w:p>
      <w:pPr>
        <w:rPr>
          <w:bCs/>
        </w:rPr>
      </w:pPr>
    </w:p>
    <w:bookmarkEnd w:id="3"/>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6608BA-FF10-4E35-9672-2A68417824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A514E8-A250-477F-BFB9-B8B5A2D20D7D}"/>
  </w:font>
  <w:font w:name="新宋体">
    <w:panose1 w:val="02010609030101010101"/>
    <w:charset w:val="86"/>
    <w:family w:val="auto"/>
    <w:pitch w:val="default"/>
    <w:sig w:usb0="00000283" w:usb1="288F0000" w:usb2="00000006" w:usb3="00000000" w:csb0="00040001" w:csb1="00000000"/>
    <w:embedRegular r:id="rId3" w:fontKey="{10E08DD8-1BA9-4521-8B23-498010FC168E}"/>
  </w:font>
  <w:font w:name="仿宋_GB2312">
    <w:panose1 w:val="02010609030101010101"/>
    <w:charset w:val="86"/>
    <w:family w:val="modern"/>
    <w:pitch w:val="default"/>
    <w:sig w:usb0="00000001" w:usb1="080E0000" w:usb2="00000000" w:usb3="00000000" w:csb0="00040000" w:csb1="00000000"/>
    <w:embedRegular r:id="rId4" w:fontKey="{190F6E0D-75E1-4C62-9CEC-7A31241E2451}"/>
  </w:font>
  <w:font w:name="方正仿宋_GBK">
    <w:panose1 w:val="03000509000000000000"/>
    <w:charset w:val="86"/>
    <w:family w:val="script"/>
    <w:pitch w:val="default"/>
    <w:sig w:usb0="00000001" w:usb1="080E0000" w:usb2="00000000" w:usb3="00000000" w:csb0="00040000" w:csb1="00000000"/>
    <w:embedRegular r:id="rId5" w:fontKey="{8768DCC7-03C7-4336-8135-58CA5DC09144}"/>
  </w:font>
  <w:font w:name="方正小标宋_GBK">
    <w:panose1 w:val="03000509000000000000"/>
    <w:charset w:val="86"/>
    <w:family w:val="script"/>
    <w:pitch w:val="default"/>
    <w:sig w:usb0="00000001" w:usb1="080E0000" w:usb2="00000000" w:usb3="00000000" w:csb0="00040000" w:csb1="00000000"/>
    <w:embedRegular r:id="rId6" w:fontKey="{262AC776-CE1B-424A-BD65-57E2331753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C10405"/>
    <w:rsid w:val="033C5388"/>
    <w:rsid w:val="038068C0"/>
    <w:rsid w:val="05271CE3"/>
    <w:rsid w:val="06EC78A0"/>
    <w:rsid w:val="0B385885"/>
    <w:rsid w:val="0F97167D"/>
    <w:rsid w:val="137F534D"/>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E8E6608"/>
    <w:rsid w:val="31B006DA"/>
    <w:rsid w:val="33E617BD"/>
    <w:rsid w:val="34FC59D1"/>
    <w:rsid w:val="36125141"/>
    <w:rsid w:val="366D5496"/>
    <w:rsid w:val="3CF44D14"/>
    <w:rsid w:val="3E7C6B56"/>
    <w:rsid w:val="40966984"/>
    <w:rsid w:val="43063938"/>
    <w:rsid w:val="45E37C15"/>
    <w:rsid w:val="47CB3ECE"/>
    <w:rsid w:val="48161295"/>
    <w:rsid w:val="49687BBC"/>
    <w:rsid w:val="4BAD7DD3"/>
    <w:rsid w:val="4D411BCB"/>
    <w:rsid w:val="532C00AA"/>
    <w:rsid w:val="534D6638"/>
    <w:rsid w:val="54ED5DAB"/>
    <w:rsid w:val="55FE7053"/>
    <w:rsid w:val="61DE16F5"/>
    <w:rsid w:val="65D26704"/>
    <w:rsid w:val="698D1AEB"/>
    <w:rsid w:val="6BA84C7A"/>
    <w:rsid w:val="7048218F"/>
    <w:rsid w:val="70C15D8C"/>
    <w:rsid w:val="73C06E35"/>
    <w:rsid w:val="74F94E64"/>
    <w:rsid w:val="759624FB"/>
    <w:rsid w:val="75DE6045"/>
    <w:rsid w:val="77724C80"/>
    <w:rsid w:val="78612E89"/>
    <w:rsid w:val="78DB4966"/>
    <w:rsid w:val="7A0A71CB"/>
    <w:rsid w:val="7B4C1F62"/>
    <w:rsid w:val="7B9D6F7B"/>
    <w:rsid w:val="7CA73254"/>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0"/>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2</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2025-05-21T07:38:28Z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